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68" w:type="dxa"/>
        <w:tblInd w:w="108" w:type="dxa"/>
        <w:tblBorders>
          <w:left w:val="none" w:sz="0" w:space="0" w:color="auto"/>
          <w:right w:val="none" w:sz="0" w:space="0" w:color="auto"/>
        </w:tblBorders>
        <w:tblLook w:val="04A0" w:firstRow="1" w:lastRow="0" w:firstColumn="1" w:lastColumn="0" w:noHBand="0" w:noVBand="1"/>
      </w:tblPr>
      <w:tblGrid>
        <w:gridCol w:w="4820"/>
        <w:gridCol w:w="5948"/>
      </w:tblGrid>
      <w:tr w:rsidR="006678BB" w:rsidTr="00AE5FC7">
        <w:trPr>
          <w:trHeight w:val="275"/>
        </w:trPr>
        <w:tc>
          <w:tcPr>
            <w:tcW w:w="4820" w:type="dxa"/>
          </w:tcPr>
          <w:p w:rsidR="006678BB" w:rsidRDefault="00AE5FC7" w:rsidP="00BB30A7">
            <w:pPr>
              <w:pStyle w:val="NoSpacing"/>
              <w:jc w:val="both"/>
            </w:pPr>
            <w:r>
              <w:rPr>
                <w:b/>
              </w:rPr>
              <w:t xml:space="preserve">Group Name </w:t>
            </w:r>
          </w:p>
        </w:tc>
        <w:tc>
          <w:tcPr>
            <w:tcW w:w="5948" w:type="dxa"/>
          </w:tcPr>
          <w:p w:rsidR="006678BB" w:rsidRDefault="008A778B" w:rsidP="00BB30A7">
            <w:pPr>
              <w:pStyle w:val="NoSpacing"/>
              <w:jc w:val="both"/>
            </w:pPr>
            <w:r>
              <w:t xml:space="preserve">Commercial Managers Network </w:t>
            </w:r>
            <w:r w:rsidR="000F69DC">
              <w:t xml:space="preserve"> </w:t>
            </w:r>
          </w:p>
        </w:tc>
      </w:tr>
      <w:tr w:rsidR="00AE5FC7" w:rsidTr="00AE5FC7">
        <w:trPr>
          <w:trHeight w:val="275"/>
        </w:trPr>
        <w:tc>
          <w:tcPr>
            <w:tcW w:w="4820" w:type="dxa"/>
          </w:tcPr>
          <w:p w:rsidR="00AE5FC7" w:rsidRPr="00D231CF" w:rsidRDefault="00AE5FC7" w:rsidP="00BB30A7">
            <w:pPr>
              <w:pStyle w:val="NoSpacing"/>
              <w:jc w:val="both"/>
              <w:rPr>
                <w:b/>
              </w:rPr>
            </w:pPr>
            <w:r w:rsidRPr="00D231CF">
              <w:rPr>
                <w:b/>
              </w:rPr>
              <w:t xml:space="preserve">Group type </w:t>
            </w:r>
          </w:p>
        </w:tc>
        <w:tc>
          <w:tcPr>
            <w:tcW w:w="5948" w:type="dxa"/>
          </w:tcPr>
          <w:p w:rsidR="00AE5FC7" w:rsidRDefault="000F69DC" w:rsidP="00BB30A7">
            <w:pPr>
              <w:pStyle w:val="NoSpacing"/>
              <w:jc w:val="both"/>
            </w:pPr>
            <w:r>
              <w:t xml:space="preserve">Network </w:t>
            </w:r>
          </w:p>
        </w:tc>
      </w:tr>
      <w:tr w:rsidR="006678BB" w:rsidTr="00876268">
        <w:trPr>
          <w:trHeight w:val="299"/>
        </w:trPr>
        <w:tc>
          <w:tcPr>
            <w:tcW w:w="4820" w:type="dxa"/>
          </w:tcPr>
          <w:p w:rsidR="00797206" w:rsidRDefault="006678BB" w:rsidP="006A2655">
            <w:pPr>
              <w:pStyle w:val="NoSpacing"/>
              <w:jc w:val="both"/>
            </w:pPr>
            <w:r w:rsidRPr="00FA492F">
              <w:rPr>
                <w:b/>
              </w:rPr>
              <w:t>Chair</w:t>
            </w:r>
            <w:r w:rsidR="00AE5FC7">
              <w:rPr>
                <w:b/>
              </w:rPr>
              <w:t xml:space="preserve"> </w:t>
            </w:r>
          </w:p>
        </w:tc>
        <w:tc>
          <w:tcPr>
            <w:tcW w:w="5948" w:type="dxa"/>
          </w:tcPr>
          <w:p w:rsidR="006678BB" w:rsidRDefault="008A778B" w:rsidP="00BB30A7">
            <w:pPr>
              <w:pStyle w:val="NoSpacing"/>
              <w:jc w:val="both"/>
            </w:pPr>
            <w:r>
              <w:t xml:space="preserve">Carl Fiddimore – CNOOC </w:t>
            </w:r>
            <w:r w:rsidR="000F69DC">
              <w:t xml:space="preserve"> </w:t>
            </w:r>
          </w:p>
        </w:tc>
      </w:tr>
      <w:tr w:rsidR="00ED38DE" w:rsidTr="00876268">
        <w:trPr>
          <w:trHeight w:val="299"/>
        </w:trPr>
        <w:tc>
          <w:tcPr>
            <w:tcW w:w="4820" w:type="dxa"/>
          </w:tcPr>
          <w:p w:rsidR="00ED38DE" w:rsidRPr="00FA492F" w:rsidRDefault="00ED38DE" w:rsidP="006A2655">
            <w:pPr>
              <w:pStyle w:val="NoSpacing"/>
              <w:jc w:val="both"/>
              <w:rPr>
                <w:b/>
              </w:rPr>
            </w:pPr>
            <w:r>
              <w:rPr>
                <w:b/>
              </w:rPr>
              <w:t xml:space="preserve">Vice Chair </w:t>
            </w:r>
          </w:p>
        </w:tc>
        <w:tc>
          <w:tcPr>
            <w:tcW w:w="5948" w:type="dxa"/>
          </w:tcPr>
          <w:p w:rsidR="00ED38DE" w:rsidRDefault="005E05BB" w:rsidP="00BB30A7">
            <w:pPr>
              <w:pStyle w:val="NoSpacing"/>
              <w:jc w:val="both"/>
            </w:pPr>
            <w:r>
              <w:t>Katy Heidenreich - OGUK</w:t>
            </w:r>
          </w:p>
        </w:tc>
      </w:tr>
      <w:tr w:rsidR="006678BB" w:rsidTr="00AE5FC7">
        <w:trPr>
          <w:trHeight w:val="304"/>
        </w:trPr>
        <w:tc>
          <w:tcPr>
            <w:tcW w:w="4820" w:type="dxa"/>
          </w:tcPr>
          <w:p w:rsidR="006678BB" w:rsidRPr="00D231CF" w:rsidRDefault="006678BB" w:rsidP="00BB30A7">
            <w:pPr>
              <w:pStyle w:val="NoSpacing"/>
              <w:jc w:val="both"/>
              <w:rPr>
                <w:b/>
              </w:rPr>
            </w:pPr>
            <w:r w:rsidRPr="00D231CF">
              <w:rPr>
                <w:b/>
              </w:rPr>
              <w:t>Issue Date</w:t>
            </w:r>
          </w:p>
        </w:tc>
        <w:tc>
          <w:tcPr>
            <w:tcW w:w="5948" w:type="dxa"/>
          </w:tcPr>
          <w:p w:rsidR="006678BB" w:rsidRDefault="008A778B" w:rsidP="00BB30A7">
            <w:pPr>
              <w:pStyle w:val="NoSpacing"/>
              <w:jc w:val="both"/>
            </w:pPr>
            <w:r>
              <w:t>March 2020</w:t>
            </w:r>
          </w:p>
        </w:tc>
      </w:tr>
    </w:tbl>
    <w:p w:rsidR="006678BB" w:rsidRDefault="00CD46BE" w:rsidP="006678BB">
      <w:pPr>
        <w:pStyle w:val="NoSpacing"/>
        <w:jc w:val="both"/>
      </w:pPr>
      <w:r>
        <w:rPr>
          <w:noProof/>
          <w:lang w:eastAsia="en-GB"/>
        </w:rPr>
        <w:drawing>
          <wp:anchor distT="0" distB="0" distL="114300" distR="114300" simplePos="0" relativeHeight="251659264" behindDoc="1" locked="0" layoutInCell="1" allowOverlap="1" wp14:anchorId="70EC8FBF" wp14:editId="02CF5334">
            <wp:simplePos x="0" y="0"/>
            <wp:positionH relativeFrom="page">
              <wp:posOffset>5133975</wp:posOffset>
            </wp:positionH>
            <wp:positionV relativeFrom="paragraph">
              <wp:posOffset>-2565400</wp:posOffset>
            </wp:positionV>
            <wp:extent cx="2626783" cy="18569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tretch>
                      <a:fillRect/>
                    </a:stretch>
                  </pic:blipFill>
                  <pic:spPr bwMode="auto">
                    <a:xfrm>
                      <a:off x="0" y="0"/>
                      <a:ext cx="2626783" cy="1856907"/>
                    </a:xfrm>
                    <a:prstGeom prst="rect">
                      <a:avLst/>
                    </a:prstGeom>
                    <a:noFill/>
                  </pic:spPr>
                </pic:pic>
              </a:graphicData>
            </a:graphic>
            <wp14:sizeRelH relativeFrom="page">
              <wp14:pctWidth>0</wp14:pctWidth>
            </wp14:sizeRelH>
            <wp14:sizeRelV relativeFrom="page">
              <wp14:pctHeight>0</wp14:pctHeight>
            </wp14:sizeRelV>
          </wp:anchor>
        </w:drawing>
      </w:r>
    </w:p>
    <w:p w:rsidR="006678BB" w:rsidRPr="006678BB" w:rsidRDefault="006678BB" w:rsidP="006678BB">
      <w:pPr>
        <w:pStyle w:val="NoSpacing"/>
        <w:shd w:val="clear" w:color="auto" w:fill="808080" w:themeFill="background1" w:themeFillShade="80"/>
        <w:jc w:val="both"/>
        <w:rPr>
          <w:b/>
          <w:color w:val="FFFFFF" w:themeColor="background1"/>
        </w:rPr>
      </w:pPr>
      <w:r w:rsidRPr="006678BB">
        <w:rPr>
          <w:b/>
          <w:color w:val="FFFFFF" w:themeColor="background1"/>
        </w:rPr>
        <w:t>Rationale</w:t>
      </w:r>
      <w:r w:rsidR="00797206">
        <w:rPr>
          <w:b/>
          <w:color w:val="FFFFFF" w:themeColor="background1"/>
        </w:rPr>
        <w:t>/</w:t>
      </w:r>
      <w:r w:rsidR="00797206" w:rsidRPr="006678BB">
        <w:rPr>
          <w:b/>
          <w:color w:val="FFFFFF" w:themeColor="background1"/>
        </w:rPr>
        <w:t>Objectives</w:t>
      </w:r>
    </w:p>
    <w:p w:rsidR="00B003EA" w:rsidRDefault="00B003EA" w:rsidP="00B003EA">
      <w:pPr>
        <w:jc w:val="both"/>
        <w:rPr>
          <w:rFonts w:asciiTheme="minorHAnsi" w:hAnsiTheme="minorHAnsi"/>
          <w:sz w:val="24"/>
          <w:szCs w:val="24"/>
        </w:rPr>
      </w:pPr>
      <w:r>
        <w:rPr>
          <w:rFonts w:asciiTheme="minorHAnsi" w:hAnsiTheme="minorHAnsi"/>
          <w:sz w:val="24"/>
          <w:szCs w:val="24"/>
        </w:rPr>
        <w:t xml:space="preserve">To provide sustainable leadership for developing and embedding the collaborative and </w:t>
      </w:r>
      <w:proofErr w:type="gramStart"/>
      <w:r>
        <w:rPr>
          <w:rFonts w:asciiTheme="minorHAnsi" w:hAnsiTheme="minorHAnsi"/>
          <w:sz w:val="24"/>
          <w:szCs w:val="24"/>
        </w:rPr>
        <w:t>problem solving</w:t>
      </w:r>
      <w:proofErr w:type="gramEnd"/>
      <w:r>
        <w:rPr>
          <w:rFonts w:asciiTheme="minorHAnsi" w:hAnsiTheme="minorHAnsi"/>
          <w:sz w:val="24"/>
          <w:szCs w:val="24"/>
        </w:rPr>
        <w:t xml:space="preserve"> commercial behaviours needed to efficiently deliver MER UK.</w:t>
      </w:r>
    </w:p>
    <w:p w:rsidR="00B003EA" w:rsidRDefault="00B003EA" w:rsidP="00B003EA">
      <w:pPr>
        <w:pStyle w:val="ListParagraph"/>
        <w:numPr>
          <w:ilvl w:val="0"/>
          <w:numId w:val="45"/>
        </w:numPr>
        <w:rPr>
          <w:rFonts w:asciiTheme="minorHAnsi" w:hAnsiTheme="minorHAnsi"/>
          <w:sz w:val="24"/>
          <w:szCs w:val="24"/>
        </w:rPr>
      </w:pPr>
      <w:r>
        <w:rPr>
          <w:rFonts w:asciiTheme="minorHAnsi" w:hAnsiTheme="minorHAnsi"/>
          <w:sz w:val="24"/>
          <w:szCs w:val="24"/>
        </w:rPr>
        <w:t>Act as custodians of CCOP and ICOP, and champions of described behaviours. Measure progress against CCOP &amp; ICOP expectations.</w:t>
      </w:r>
    </w:p>
    <w:p w:rsidR="00B003EA" w:rsidRDefault="00B003EA" w:rsidP="00B003EA">
      <w:pPr>
        <w:pStyle w:val="ListParagraph"/>
        <w:numPr>
          <w:ilvl w:val="0"/>
          <w:numId w:val="45"/>
        </w:numPr>
        <w:rPr>
          <w:rFonts w:asciiTheme="minorHAnsi" w:hAnsiTheme="minorHAnsi"/>
          <w:sz w:val="24"/>
          <w:szCs w:val="24"/>
        </w:rPr>
      </w:pPr>
      <w:r>
        <w:rPr>
          <w:rFonts w:asciiTheme="minorHAnsi" w:hAnsiTheme="minorHAnsi"/>
          <w:sz w:val="24"/>
          <w:szCs w:val="24"/>
        </w:rPr>
        <w:t>Owners of specific industry-led commercial work groups</w:t>
      </w:r>
    </w:p>
    <w:p w:rsidR="00B003EA" w:rsidRDefault="00B003EA" w:rsidP="00B003EA">
      <w:pPr>
        <w:pStyle w:val="ListParagraph"/>
        <w:numPr>
          <w:ilvl w:val="0"/>
          <w:numId w:val="45"/>
        </w:numPr>
        <w:rPr>
          <w:rFonts w:asciiTheme="minorHAnsi" w:hAnsiTheme="minorHAnsi"/>
          <w:sz w:val="24"/>
          <w:szCs w:val="24"/>
        </w:rPr>
      </w:pPr>
      <w:r>
        <w:rPr>
          <w:rFonts w:asciiTheme="minorHAnsi" w:hAnsiTheme="minorHAnsi"/>
          <w:sz w:val="24"/>
          <w:szCs w:val="24"/>
        </w:rPr>
        <w:t>Provide a forum to share commercial lessons &amp; good practice, to allow discussion of direction of travel on MER UK behaviours and to build connections and trust between Commercial Managers outside of the heat of a negotiation or dispute.</w:t>
      </w:r>
    </w:p>
    <w:p w:rsidR="00B003EA" w:rsidRDefault="00B003EA" w:rsidP="00B003EA">
      <w:pPr>
        <w:pStyle w:val="ListParagraph"/>
        <w:numPr>
          <w:ilvl w:val="0"/>
          <w:numId w:val="45"/>
        </w:numPr>
        <w:rPr>
          <w:rFonts w:asciiTheme="minorHAnsi" w:hAnsiTheme="minorHAnsi"/>
          <w:sz w:val="24"/>
          <w:szCs w:val="24"/>
        </w:rPr>
      </w:pPr>
      <w:r>
        <w:rPr>
          <w:rFonts w:asciiTheme="minorHAnsi" w:hAnsiTheme="minorHAnsi"/>
          <w:sz w:val="24"/>
          <w:szCs w:val="24"/>
        </w:rPr>
        <w:t>Vehicle for the OGA and Oil &amp; Gas UK members to engage directly with the leaders of commercial behaviours within each organisation working in UKCS.</w:t>
      </w:r>
    </w:p>
    <w:p w:rsidR="00B003EA" w:rsidRDefault="00B003EA" w:rsidP="00B003EA">
      <w:pPr>
        <w:pStyle w:val="NoSpacing"/>
        <w:rPr>
          <w:sz w:val="24"/>
          <w:szCs w:val="24"/>
        </w:rPr>
      </w:pPr>
    </w:p>
    <w:p w:rsidR="00B003EA" w:rsidRDefault="00B003EA" w:rsidP="00B003EA">
      <w:pPr>
        <w:jc w:val="left"/>
        <w:rPr>
          <w:sz w:val="24"/>
          <w:szCs w:val="24"/>
        </w:rPr>
      </w:pPr>
      <w:r>
        <w:rPr>
          <w:rFonts w:asciiTheme="minorHAnsi" w:hAnsiTheme="minorHAnsi"/>
          <w:sz w:val="24"/>
          <w:szCs w:val="24"/>
        </w:rPr>
        <w:t xml:space="preserve">The CMF shall operate in a fully transparent, proportionate and non-discriminatory manner and work towards addressing identified commercial issues within the scope described above. It will </w:t>
      </w:r>
      <w:r w:rsidR="00ED38DE">
        <w:rPr>
          <w:rFonts w:asciiTheme="minorHAnsi" w:hAnsiTheme="minorHAnsi"/>
          <w:sz w:val="24"/>
          <w:szCs w:val="24"/>
        </w:rPr>
        <w:t>always</w:t>
      </w:r>
      <w:r>
        <w:rPr>
          <w:rFonts w:asciiTheme="minorHAnsi" w:hAnsiTheme="minorHAnsi"/>
          <w:sz w:val="24"/>
          <w:szCs w:val="24"/>
        </w:rPr>
        <w:t xml:space="preserve"> operate in accordance with Oil &amp; Gas UK’s governance structure and policies</w:t>
      </w:r>
      <w:r>
        <w:rPr>
          <w:sz w:val="24"/>
          <w:szCs w:val="24"/>
        </w:rPr>
        <w:t xml:space="preserve">. </w:t>
      </w:r>
      <w:r>
        <w:rPr>
          <w:rFonts w:asciiTheme="minorHAnsi" w:hAnsiTheme="minorHAnsi"/>
          <w:sz w:val="24"/>
          <w:szCs w:val="24"/>
        </w:rPr>
        <w:t xml:space="preserve"> The collection and/or sharing of any information amongst its members as well as all correspondence and dealings shall be subject to Oil &amp; Gas UK’s Competition Law Compliance Policy</w:t>
      </w:r>
      <w:r>
        <w:rPr>
          <w:rStyle w:val="FootnoteReference"/>
          <w:rFonts w:asciiTheme="minorHAnsi" w:hAnsiTheme="minorHAnsi"/>
          <w:sz w:val="24"/>
          <w:szCs w:val="24"/>
        </w:rPr>
        <w:footnoteReference w:id="1"/>
      </w:r>
      <w:r>
        <w:rPr>
          <w:rFonts w:asciiTheme="minorHAnsi" w:hAnsiTheme="minorHAnsi"/>
          <w:sz w:val="24"/>
          <w:szCs w:val="24"/>
        </w:rPr>
        <w:t>. The CMF replaces the “Commercial Code of Practice Champions Network”</w:t>
      </w:r>
      <w:r>
        <w:rPr>
          <w:rStyle w:val="FootnoteReference"/>
          <w:sz w:val="24"/>
          <w:szCs w:val="24"/>
        </w:rPr>
        <w:t xml:space="preserve"> </w:t>
      </w:r>
      <w:r>
        <w:rPr>
          <w:rStyle w:val="FootnoteReference"/>
          <w:sz w:val="24"/>
          <w:szCs w:val="24"/>
        </w:rPr>
        <w:footnoteReference w:id="2"/>
      </w:r>
      <w:r>
        <w:rPr>
          <w:rFonts w:asciiTheme="minorHAnsi" w:hAnsiTheme="minorHAnsi"/>
          <w:sz w:val="24"/>
          <w:szCs w:val="24"/>
        </w:rPr>
        <w:t>.</w:t>
      </w:r>
      <w:r>
        <w:rPr>
          <w:sz w:val="24"/>
          <w:szCs w:val="24"/>
        </w:rPr>
        <w:t xml:space="preserve"> </w:t>
      </w:r>
    </w:p>
    <w:p w:rsidR="00B003EA" w:rsidRDefault="00B003EA" w:rsidP="00B003EA">
      <w:pPr>
        <w:jc w:val="left"/>
        <w:rPr>
          <w:sz w:val="24"/>
          <w:szCs w:val="24"/>
        </w:rPr>
      </w:pPr>
    </w:p>
    <w:p w:rsidR="00B003EA" w:rsidRDefault="00B003EA" w:rsidP="00B003EA">
      <w:pPr>
        <w:jc w:val="left"/>
        <w:rPr>
          <w:rFonts w:asciiTheme="minorHAnsi" w:eastAsiaTheme="minorHAnsi" w:hAnsiTheme="minorHAnsi" w:cstheme="minorBidi"/>
          <w:sz w:val="24"/>
          <w:szCs w:val="24"/>
        </w:rPr>
      </w:pPr>
      <w:r>
        <w:rPr>
          <w:rFonts w:asciiTheme="minorHAnsi" w:eastAsiaTheme="minorHAnsi" w:hAnsiTheme="minorHAnsi" w:cstheme="minorBidi"/>
          <w:sz w:val="24"/>
          <w:szCs w:val="24"/>
        </w:rPr>
        <w:t>The CMF shall seek to proceed by consensus. Where there is no consensus the matter will be raised to the Oil &amp; Gas UK Board for determination.</w:t>
      </w:r>
    </w:p>
    <w:p w:rsidR="00B51D4A" w:rsidRDefault="00B51D4A" w:rsidP="006A2655">
      <w:pPr>
        <w:jc w:val="left"/>
      </w:pPr>
    </w:p>
    <w:p w:rsidR="0063323F" w:rsidRDefault="0063323F" w:rsidP="006678BB">
      <w:pPr>
        <w:pStyle w:val="NoSpacing"/>
        <w:jc w:val="both"/>
      </w:pPr>
    </w:p>
    <w:p w:rsidR="006678BB" w:rsidRPr="006678BB" w:rsidRDefault="006678BB" w:rsidP="006678BB">
      <w:pPr>
        <w:pStyle w:val="NoSpacing"/>
        <w:shd w:val="clear" w:color="auto" w:fill="808080" w:themeFill="background1" w:themeFillShade="80"/>
        <w:jc w:val="both"/>
        <w:rPr>
          <w:b/>
          <w:color w:val="FFFFFF" w:themeColor="background1"/>
        </w:rPr>
      </w:pPr>
      <w:r w:rsidRPr="006678BB">
        <w:rPr>
          <w:b/>
          <w:color w:val="FFFFFF" w:themeColor="background1"/>
        </w:rPr>
        <w:t>Membership</w:t>
      </w:r>
    </w:p>
    <w:p w:rsidR="006678BB" w:rsidRDefault="006678BB" w:rsidP="006678BB">
      <w:pPr>
        <w:pStyle w:val="NoSpacing"/>
        <w:jc w:val="both"/>
        <w:rPr>
          <w:b/>
        </w:rPr>
      </w:pPr>
    </w:p>
    <w:p w:rsidR="00B003EA" w:rsidRDefault="00B003EA" w:rsidP="00B003EA">
      <w:pPr>
        <w:jc w:val="both"/>
        <w:rPr>
          <w:rFonts w:asciiTheme="minorHAnsi" w:eastAsiaTheme="minorEastAsia" w:hAnsiTheme="minorHAnsi" w:cstheme="minorBidi"/>
          <w:sz w:val="24"/>
          <w:szCs w:val="24"/>
          <w:lang w:eastAsia="en-GB"/>
        </w:rPr>
      </w:pPr>
      <w:r>
        <w:rPr>
          <w:rFonts w:asciiTheme="minorHAnsi" w:hAnsiTheme="minorHAnsi"/>
          <w:sz w:val="24"/>
          <w:szCs w:val="24"/>
        </w:rPr>
        <w:t>A senior Commercial Manager from every licensee or infrastructure operator member in UKCS. The expectation from the Oil &amp; Gas UK Board is</w:t>
      </w:r>
      <w:r>
        <w:rPr>
          <w:rFonts w:asciiTheme="minorHAnsi" w:hAnsiTheme="minorHAnsi"/>
          <w:i/>
          <w:sz w:val="24"/>
          <w:szCs w:val="24"/>
        </w:rPr>
        <w:t xml:space="preserve"> </w:t>
      </w:r>
      <w:r>
        <w:rPr>
          <w:rFonts w:asciiTheme="minorHAnsi" w:hAnsiTheme="minorHAnsi"/>
          <w:sz w:val="24"/>
          <w:szCs w:val="24"/>
        </w:rPr>
        <w:t>that each company nominates a suitable Manager to participate in the CMF, engages constructively, and steps up to serve on the steering group or individual work groups as required.</w:t>
      </w:r>
      <w:r>
        <w:rPr>
          <w:rFonts w:asciiTheme="minorHAnsi" w:eastAsiaTheme="minorEastAsia" w:hAnsiTheme="minorHAnsi" w:cstheme="minorBidi"/>
          <w:sz w:val="24"/>
          <w:szCs w:val="24"/>
          <w:lang w:eastAsia="en-GB"/>
        </w:rPr>
        <w:t xml:space="preserve"> </w:t>
      </w:r>
    </w:p>
    <w:p w:rsidR="00B003EA" w:rsidRDefault="00B003EA" w:rsidP="00B003EA">
      <w:pPr>
        <w:jc w:val="both"/>
        <w:rPr>
          <w:rFonts w:asciiTheme="minorHAnsi" w:eastAsiaTheme="minorEastAsia" w:hAnsiTheme="minorHAnsi" w:cstheme="minorBidi"/>
          <w:sz w:val="24"/>
          <w:szCs w:val="24"/>
          <w:lang w:eastAsia="en-GB"/>
        </w:rPr>
      </w:pPr>
    </w:p>
    <w:p w:rsidR="00D12AF0" w:rsidRPr="00B003EA" w:rsidRDefault="00B003EA" w:rsidP="00B003EA">
      <w:pPr>
        <w:spacing w:after="200" w:line="276" w:lineRule="auto"/>
        <w:jc w:val="both"/>
        <w:rPr>
          <w:rFonts w:asciiTheme="minorHAnsi" w:eastAsiaTheme="minorEastAsia" w:hAnsiTheme="minorHAnsi"/>
          <w:sz w:val="24"/>
          <w:szCs w:val="24"/>
          <w:lang w:eastAsia="en-GB"/>
        </w:rPr>
      </w:pPr>
      <w:r>
        <w:rPr>
          <w:rFonts w:asciiTheme="minorHAnsi" w:eastAsiaTheme="minorEastAsia" w:hAnsiTheme="minorHAnsi" w:cstheme="minorBidi"/>
          <w:sz w:val="24"/>
          <w:szCs w:val="24"/>
          <w:lang w:eastAsia="en-GB"/>
        </w:rPr>
        <w:t xml:space="preserve">One representative for each member should try to attend each meeting. Multiple representations should be avoided unless there is a specific topic of relevance on the agenda. Members may be asked to dedicate time </w:t>
      </w:r>
      <w:r>
        <w:rPr>
          <w:rFonts w:asciiTheme="minorHAnsi" w:eastAsiaTheme="minorEastAsia" w:hAnsiTheme="minorHAnsi" w:cstheme="minorBidi"/>
          <w:sz w:val="24"/>
          <w:szCs w:val="24"/>
          <w:lang w:eastAsia="en-GB"/>
        </w:rPr>
        <w:lastRenderedPageBreak/>
        <w:t>to the work of the CMF (or any of its work groups) from time to time, and this may be during working hours.  Oil &amp; Gas UK is grateful for this resource and would not be able to accomplish its aims without it.</w:t>
      </w:r>
    </w:p>
    <w:p w:rsidR="00905229" w:rsidRPr="0088319C" w:rsidRDefault="00905229" w:rsidP="00905229">
      <w:pPr>
        <w:pStyle w:val="NoSpacing"/>
        <w:jc w:val="both"/>
        <w:rPr>
          <w:i/>
        </w:rPr>
      </w:pPr>
    </w:p>
    <w:p w:rsidR="00B51D4A" w:rsidRPr="00EE5BC6" w:rsidRDefault="00905229" w:rsidP="00EE5BC6">
      <w:pPr>
        <w:pStyle w:val="NoSpacing"/>
        <w:shd w:val="clear" w:color="auto" w:fill="808080" w:themeFill="background1" w:themeFillShade="80"/>
        <w:jc w:val="both"/>
        <w:rPr>
          <w:b/>
          <w:color w:val="FFFFFF" w:themeColor="background1"/>
        </w:rPr>
      </w:pPr>
      <w:r>
        <w:rPr>
          <w:b/>
          <w:color w:val="FFFFFF" w:themeColor="background1"/>
        </w:rPr>
        <w:t>Roles and Responsibilities</w:t>
      </w:r>
    </w:p>
    <w:p w:rsidR="00B003EA" w:rsidRDefault="00B003EA" w:rsidP="00B003EA">
      <w:pPr>
        <w:jc w:val="both"/>
        <w:rPr>
          <w:rFonts w:asciiTheme="minorHAnsi" w:hAnsiTheme="minorHAnsi"/>
          <w:sz w:val="24"/>
          <w:szCs w:val="24"/>
        </w:rPr>
      </w:pPr>
      <w:r>
        <w:rPr>
          <w:rFonts w:asciiTheme="minorHAnsi" w:hAnsiTheme="minorHAnsi"/>
          <w:sz w:val="24"/>
          <w:szCs w:val="24"/>
        </w:rPr>
        <w:t>The CMF is led by a Steering Group representing a cross section of its membership and consists of:</w:t>
      </w:r>
    </w:p>
    <w:p w:rsidR="00B003EA" w:rsidRDefault="00B003EA" w:rsidP="00B003EA">
      <w:pPr>
        <w:pStyle w:val="ListParagraph"/>
        <w:numPr>
          <w:ilvl w:val="0"/>
          <w:numId w:val="46"/>
        </w:numPr>
        <w:rPr>
          <w:rFonts w:asciiTheme="minorHAnsi" w:hAnsiTheme="minorHAnsi"/>
          <w:sz w:val="24"/>
          <w:szCs w:val="24"/>
        </w:rPr>
      </w:pPr>
      <w:r>
        <w:rPr>
          <w:rFonts w:asciiTheme="minorHAnsi" w:hAnsiTheme="minorHAnsi"/>
          <w:sz w:val="24"/>
          <w:szCs w:val="24"/>
        </w:rPr>
        <w:t>The CMF Chair &amp; Vice Chair who will lead the work of the Steering Group and the CMF</w:t>
      </w:r>
    </w:p>
    <w:p w:rsidR="00B003EA" w:rsidRDefault="00B003EA" w:rsidP="00B003EA">
      <w:pPr>
        <w:pStyle w:val="ListParagraph"/>
        <w:numPr>
          <w:ilvl w:val="0"/>
          <w:numId w:val="46"/>
        </w:numPr>
        <w:rPr>
          <w:rFonts w:asciiTheme="minorHAnsi" w:hAnsiTheme="minorHAnsi"/>
          <w:sz w:val="24"/>
          <w:szCs w:val="24"/>
        </w:rPr>
      </w:pPr>
      <w:r>
        <w:rPr>
          <w:rFonts w:asciiTheme="minorHAnsi" w:hAnsiTheme="minorHAnsi"/>
          <w:sz w:val="24"/>
          <w:szCs w:val="24"/>
        </w:rPr>
        <w:t>Further Steering Group members representing a cross section of CMF membership</w:t>
      </w:r>
    </w:p>
    <w:p w:rsidR="00B003EA" w:rsidRDefault="00B003EA" w:rsidP="00B003EA">
      <w:pPr>
        <w:pStyle w:val="ListParagraph"/>
        <w:numPr>
          <w:ilvl w:val="0"/>
          <w:numId w:val="46"/>
        </w:numPr>
        <w:rPr>
          <w:rFonts w:asciiTheme="minorHAnsi" w:hAnsiTheme="minorHAnsi"/>
          <w:sz w:val="24"/>
          <w:szCs w:val="24"/>
        </w:rPr>
      </w:pPr>
      <w:r>
        <w:rPr>
          <w:rFonts w:asciiTheme="minorHAnsi" w:hAnsiTheme="minorHAnsi"/>
          <w:sz w:val="24"/>
          <w:szCs w:val="24"/>
        </w:rPr>
        <w:t>The current Chair of the Oil &amp; Gas UK Operators Legal Committee</w:t>
      </w:r>
    </w:p>
    <w:p w:rsidR="00B003EA" w:rsidRDefault="00B003EA" w:rsidP="00B003EA">
      <w:pPr>
        <w:pStyle w:val="ListParagraph"/>
        <w:numPr>
          <w:ilvl w:val="0"/>
          <w:numId w:val="46"/>
        </w:numPr>
        <w:rPr>
          <w:rFonts w:asciiTheme="minorHAnsi" w:hAnsiTheme="minorHAnsi"/>
          <w:sz w:val="24"/>
          <w:szCs w:val="24"/>
        </w:rPr>
      </w:pPr>
      <w:r>
        <w:rPr>
          <w:rFonts w:asciiTheme="minorHAnsi" w:hAnsiTheme="minorHAnsi"/>
          <w:sz w:val="24"/>
          <w:szCs w:val="24"/>
        </w:rPr>
        <w:t>A representative from the Oil &amp; Gas Authority</w:t>
      </w:r>
    </w:p>
    <w:p w:rsidR="00B003EA" w:rsidRDefault="00B003EA" w:rsidP="00B003EA">
      <w:pPr>
        <w:jc w:val="left"/>
        <w:rPr>
          <w:rFonts w:asciiTheme="minorHAnsi" w:hAnsiTheme="minorHAnsi"/>
          <w:sz w:val="24"/>
          <w:szCs w:val="24"/>
        </w:rPr>
      </w:pPr>
    </w:p>
    <w:p w:rsidR="00B003EA" w:rsidRDefault="00B003EA" w:rsidP="00B003EA">
      <w:pPr>
        <w:pStyle w:val="NoSpacing"/>
        <w:jc w:val="both"/>
        <w:rPr>
          <w:sz w:val="24"/>
          <w:szCs w:val="24"/>
        </w:rPr>
      </w:pPr>
      <w:r>
        <w:rPr>
          <w:sz w:val="24"/>
          <w:szCs w:val="24"/>
        </w:rPr>
        <w:t>The Steering Group shall seek to ensure that:</w:t>
      </w:r>
    </w:p>
    <w:p w:rsidR="00B003EA" w:rsidRDefault="00B003EA" w:rsidP="00B003EA">
      <w:pPr>
        <w:pStyle w:val="NoSpacing"/>
        <w:numPr>
          <w:ilvl w:val="0"/>
          <w:numId w:val="47"/>
        </w:numPr>
        <w:jc w:val="both"/>
        <w:rPr>
          <w:sz w:val="24"/>
          <w:szCs w:val="24"/>
        </w:rPr>
      </w:pPr>
      <w:r>
        <w:rPr>
          <w:sz w:val="24"/>
          <w:szCs w:val="24"/>
        </w:rPr>
        <w:t>the CMF accomplishes its objectives by planning workgroup activities and evaluating implementation and progress of work</w:t>
      </w:r>
    </w:p>
    <w:p w:rsidR="00B003EA" w:rsidRDefault="00B003EA" w:rsidP="00B003EA">
      <w:pPr>
        <w:pStyle w:val="NoSpacing"/>
        <w:numPr>
          <w:ilvl w:val="0"/>
          <w:numId w:val="47"/>
        </w:numPr>
        <w:jc w:val="both"/>
        <w:rPr>
          <w:sz w:val="24"/>
          <w:szCs w:val="24"/>
        </w:rPr>
      </w:pPr>
      <w:r>
        <w:rPr>
          <w:sz w:val="24"/>
          <w:szCs w:val="24"/>
        </w:rPr>
        <w:t xml:space="preserve">any concerns, support requirements, etc. with project delivery are raised with the relevant Oil &amp; Gas UK representative or department </w:t>
      </w:r>
    </w:p>
    <w:p w:rsidR="00B003EA" w:rsidRDefault="00B003EA" w:rsidP="00B003EA">
      <w:pPr>
        <w:pStyle w:val="NoSpacing"/>
        <w:numPr>
          <w:ilvl w:val="0"/>
          <w:numId w:val="47"/>
        </w:numPr>
        <w:jc w:val="both"/>
        <w:rPr>
          <w:sz w:val="24"/>
          <w:szCs w:val="24"/>
        </w:rPr>
      </w:pPr>
      <w:r>
        <w:rPr>
          <w:sz w:val="24"/>
          <w:szCs w:val="24"/>
        </w:rPr>
        <w:t xml:space="preserve">the CMF is made up of a cross section of industry and has a </w:t>
      </w:r>
      <w:proofErr w:type="gramStart"/>
      <w:r>
        <w:rPr>
          <w:sz w:val="24"/>
          <w:szCs w:val="24"/>
        </w:rPr>
        <w:t>suffi</w:t>
      </w:r>
      <w:bookmarkStart w:id="0" w:name="_GoBack"/>
      <w:bookmarkEnd w:id="0"/>
      <w:r>
        <w:rPr>
          <w:sz w:val="24"/>
          <w:szCs w:val="24"/>
        </w:rPr>
        <w:t>cient</w:t>
      </w:r>
      <w:proofErr w:type="gramEnd"/>
      <w:r>
        <w:rPr>
          <w:sz w:val="24"/>
          <w:szCs w:val="24"/>
        </w:rPr>
        <w:t xml:space="preserve"> level of experience</w:t>
      </w:r>
    </w:p>
    <w:p w:rsidR="00B003EA" w:rsidRDefault="00B003EA" w:rsidP="00B003EA">
      <w:pPr>
        <w:pStyle w:val="NoSpacing"/>
        <w:numPr>
          <w:ilvl w:val="0"/>
          <w:numId w:val="47"/>
        </w:numPr>
        <w:jc w:val="both"/>
        <w:rPr>
          <w:sz w:val="24"/>
          <w:szCs w:val="24"/>
        </w:rPr>
      </w:pPr>
      <w:r>
        <w:rPr>
          <w:sz w:val="24"/>
          <w:szCs w:val="24"/>
        </w:rPr>
        <w:t>any product delivered by the CMF represents a balanced industry viewpoint</w:t>
      </w:r>
    </w:p>
    <w:p w:rsidR="00B003EA" w:rsidRDefault="00B003EA" w:rsidP="00B003EA">
      <w:pPr>
        <w:jc w:val="both"/>
        <w:rPr>
          <w:rFonts w:asciiTheme="minorHAnsi" w:hAnsiTheme="minorHAnsi"/>
          <w:sz w:val="24"/>
          <w:szCs w:val="24"/>
        </w:rPr>
      </w:pPr>
    </w:p>
    <w:p w:rsidR="00B003EA" w:rsidRDefault="00B003EA" w:rsidP="00B003EA">
      <w:pPr>
        <w:jc w:val="both"/>
        <w:rPr>
          <w:rFonts w:asciiTheme="minorHAnsi" w:hAnsiTheme="minorHAnsi"/>
          <w:sz w:val="24"/>
          <w:szCs w:val="24"/>
        </w:rPr>
      </w:pPr>
      <w:r>
        <w:rPr>
          <w:rFonts w:asciiTheme="minorHAnsi" w:hAnsiTheme="minorHAnsi"/>
          <w:sz w:val="24"/>
          <w:szCs w:val="24"/>
        </w:rPr>
        <w:t xml:space="preserve">The Steering Group is formed of volunteers from the CMF who will typically serve for up to 2 years. The </w:t>
      </w:r>
      <w:r>
        <w:rPr>
          <w:sz w:val="24"/>
          <w:szCs w:val="24"/>
        </w:rPr>
        <w:t>Steering Group w</w:t>
      </w:r>
      <w:r>
        <w:rPr>
          <w:rFonts w:asciiTheme="minorHAnsi" w:hAnsiTheme="minorHAnsi"/>
          <w:sz w:val="24"/>
          <w:szCs w:val="24"/>
        </w:rPr>
        <w:t xml:space="preserve">ill appoint the Chair and Vice Chair for up to 2 years at a time, each with the possibility of re-appointment. The Chair and Vice Chair should not be replaced at the same time. The Steering Group </w:t>
      </w:r>
      <w:r w:rsidR="00ED38DE">
        <w:rPr>
          <w:rFonts w:asciiTheme="minorHAnsi" w:hAnsiTheme="minorHAnsi"/>
          <w:sz w:val="24"/>
          <w:szCs w:val="24"/>
        </w:rPr>
        <w:t>meets on a monthly basis</w:t>
      </w:r>
      <w:r>
        <w:rPr>
          <w:rFonts w:asciiTheme="minorHAnsi" w:hAnsiTheme="minorHAnsi"/>
          <w:sz w:val="24"/>
          <w:szCs w:val="24"/>
        </w:rPr>
        <w:t>. Meetings will have an agenda that has been circulated in advance, and meeting minutes will be taken and circulated for approval.</w:t>
      </w:r>
    </w:p>
    <w:p w:rsidR="00B003EA" w:rsidRDefault="00B003EA" w:rsidP="00B003EA">
      <w:pPr>
        <w:rPr>
          <w:rFonts w:asciiTheme="minorHAnsi" w:hAnsiTheme="minorHAnsi"/>
          <w:sz w:val="24"/>
          <w:szCs w:val="24"/>
        </w:rPr>
      </w:pPr>
    </w:p>
    <w:p w:rsidR="00B003EA" w:rsidRDefault="00B003EA" w:rsidP="00B003EA">
      <w:pPr>
        <w:jc w:val="both"/>
        <w:rPr>
          <w:rFonts w:asciiTheme="minorHAnsi" w:hAnsiTheme="minorHAnsi"/>
          <w:sz w:val="24"/>
          <w:szCs w:val="24"/>
        </w:rPr>
      </w:pPr>
      <w:r>
        <w:rPr>
          <w:rFonts w:asciiTheme="minorHAnsi" w:hAnsiTheme="minorHAnsi"/>
          <w:sz w:val="24"/>
          <w:szCs w:val="24"/>
        </w:rPr>
        <w:t xml:space="preserve">As of </w:t>
      </w:r>
      <w:proofErr w:type="gramStart"/>
      <w:r>
        <w:rPr>
          <w:rFonts w:asciiTheme="minorHAnsi" w:hAnsiTheme="minorHAnsi"/>
          <w:sz w:val="24"/>
          <w:szCs w:val="24"/>
        </w:rPr>
        <w:t>March 2020</w:t>
      </w:r>
      <w:proofErr w:type="gramEnd"/>
      <w:r>
        <w:rPr>
          <w:rFonts w:asciiTheme="minorHAnsi" w:hAnsiTheme="minorHAnsi"/>
          <w:sz w:val="24"/>
          <w:szCs w:val="24"/>
        </w:rPr>
        <w:t xml:space="preserve"> the Steering Group consists of:</w:t>
      </w:r>
    </w:p>
    <w:p w:rsidR="00EE5BC6" w:rsidRDefault="00EE5BC6" w:rsidP="00B003EA">
      <w:pPr>
        <w:jc w:val="both"/>
        <w:rPr>
          <w:rFonts w:asciiTheme="minorHAnsi" w:hAnsiTheme="minorHAnsi"/>
          <w:sz w:val="24"/>
          <w:szCs w:val="24"/>
        </w:rPr>
      </w:pPr>
    </w:p>
    <w:p w:rsidR="00420369" w:rsidRPr="00EE5BC6" w:rsidRDefault="00420369" w:rsidP="00EE5BC6">
      <w:pPr>
        <w:pStyle w:val="ListParagraph"/>
        <w:numPr>
          <w:ilvl w:val="0"/>
          <w:numId w:val="49"/>
        </w:numPr>
        <w:jc w:val="both"/>
        <w:rPr>
          <w:rFonts w:asciiTheme="minorHAnsi" w:hAnsiTheme="minorHAnsi"/>
          <w:sz w:val="24"/>
          <w:szCs w:val="24"/>
        </w:rPr>
      </w:pPr>
      <w:r w:rsidRPr="00EE5BC6">
        <w:rPr>
          <w:rFonts w:asciiTheme="minorHAnsi" w:hAnsiTheme="minorHAnsi"/>
          <w:sz w:val="24"/>
          <w:szCs w:val="24"/>
        </w:rPr>
        <w:t xml:space="preserve">Carl Fiddimore – CNOOC </w:t>
      </w:r>
      <w:r w:rsidR="00BB30A7" w:rsidRPr="00EE5BC6">
        <w:rPr>
          <w:rFonts w:asciiTheme="minorHAnsi" w:hAnsiTheme="minorHAnsi"/>
          <w:sz w:val="24"/>
          <w:szCs w:val="24"/>
        </w:rPr>
        <w:t>- Chair</w:t>
      </w:r>
    </w:p>
    <w:p w:rsidR="00420369" w:rsidRPr="005E05BB" w:rsidRDefault="00420369" w:rsidP="00BB30A7">
      <w:pPr>
        <w:pStyle w:val="ListParagraph"/>
        <w:numPr>
          <w:ilvl w:val="0"/>
          <w:numId w:val="46"/>
        </w:numPr>
        <w:jc w:val="both"/>
        <w:rPr>
          <w:rFonts w:asciiTheme="minorHAnsi" w:hAnsiTheme="minorHAnsi"/>
          <w:sz w:val="24"/>
          <w:szCs w:val="24"/>
        </w:rPr>
      </w:pPr>
      <w:r w:rsidRPr="005E05BB">
        <w:rPr>
          <w:rFonts w:asciiTheme="minorHAnsi" w:hAnsiTheme="minorHAnsi"/>
          <w:sz w:val="24"/>
          <w:szCs w:val="24"/>
        </w:rPr>
        <w:t xml:space="preserve">Katy Heidenreich – OGUK </w:t>
      </w:r>
      <w:r w:rsidR="00BB30A7">
        <w:rPr>
          <w:rFonts w:asciiTheme="minorHAnsi" w:hAnsiTheme="minorHAnsi"/>
          <w:sz w:val="24"/>
          <w:szCs w:val="24"/>
        </w:rPr>
        <w:t>Operations Director and – Vice Chair</w:t>
      </w:r>
    </w:p>
    <w:p w:rsidR="00420369" w:rsidRDefault="00420369" w:rsidP="00420369">
      <w:pPr>
        <w:pStyle w:val="ListParagraph"/>
        <w:numPr>
          <w:ilvl w:val="0"/>
          <w:numId w:val="46"/>
        </w:numPr>
        <w:jc w:val="both"/>
        <w:rPr>
          <w:rFonts w:asciiTheme="minorHAnsi" w:hAnsiTheme="minorHAnsi"/>
          <w:sz w:val="24"/>
          <w:szCs w:val="24"/>
        </w:rPr>
      </w:pPr>
      <w:r>
        <w:rPr>
          <w:rFonts w:asciiTheme="minorHAnsi" w:hAnsiTheme="minorHAnsi"/>
          <w:sz w:val="24"/>
          <w:szCs w:val="24"/>
        </w:rPr>
        <w:t xml:space="preserve">Francesca Bell – OGUK </w:t>
      </w:r>
    </w:p>
    <w:p w:rsidR="00581B87" w:rsidRDefault="00EE5BC6" w:rsidP="00420369">
      <w:pPr>
        <w:pStyle w:val="ListParagraph"/>
        <w:numPr>
          <w:ilvl w:val="0"/>
          <w:numId w:val="46"/>
        </w:numPr>
        <w:jc w:val="both"/>
        <w:rPr>
          <w:rFonts w:asciiTheme="minorHAnsi" w:hAnsiTheme="minorHAnsi"/>
          <w:sz w:val="24"/>
          <w:szCs w:val="24"/>
        </w:rPr>
      </w:pPr>
      <w:r>
        <w:rPr>
          <w:rFonts w:asciiTheme="minorHAnsi" w:hAnsiTheme="minorHAnsi"/>
          <w:sz w:val="24"/>
          <w:szCs w:val="24"/>
        </w:rPr>
        <w:t>Tracey Keith</w:t>
      </w:r>
      <w:r w:rsidR="00581B87">
        <w:rPr>
          <w:rFonts w:asciiTheme="minorHAnsi" w:hAnsiTheme="minorHAnsi"/>
          <w:sz w:val="24"/>
          <w:szCs w:val="24"/>
        </w:rPr>
        <w:t xml:space="preserve"> – (OGUK – Operators Legal Committee)</w:t>
      </w:r>
    </w:p>
    <w:p w:rsidR="00420369" w:rsidRDefault="00420369" w:rsidP="00420369">
      <w:pPr>
        <w:pStyle w:val="ListParagraph"/>
        <w:numPr>
          <w:ilvl w:val="0"/>
          <w:numId w:val="46"/>
        </w:numPr>
        <w:jc w:val="both"/>
        <w:rPr>
          <w:rFonts w:asciiTheme="minorHAnsi" w:hAnsiTheme="minorHAnsi"/>
          <w:sz w:val="24"/>
          <w:szCs w:val="24"/>
        </w:rPr>
      </w:pPr>
      <w:r>
        <w:rPr>
          <w:rFonts w:asciiTheme="minorHAnsi" w:hAnsiTheme="minorHAnsi"/>
          <w:sz w:val="24"/>
          <w:szCs w:val="24"/>
        </w:rPr>
        <w:t xml:space="preserve">David Hampton – Total </w:t>
      </w:r>
    </w:p>
    <w:p w:rsidR="00420369" w:rsidRDefault="00420369" w:rsidP="00420369">
      <w:pPr>
        <w:pStyle w:val="ListParagraph"/>
        <w:numPr>
          <w:ilvl w:val="0"/>
          <w:numId w:val="46"/>
        </w:numPr>
        <w:jc w:val="both"/>
        <w:rPr>
          <w:rFonts w:asciiTheme="minorHAnsi" w:hAnsiTheme="minorHAnsi"/>
          <w:sz w:val="24"/>
          <w:szCs w:val="24"/>
        </w:rPr>
      </w:pPr>
      <w:r>
        <w:rPr>
          <w:rFonts w:asciiTheme="minorHAnsi" w:hAnsiTheme="minorHAnsi"/>
          <w:sz w:val="24"/>
          <w:szCs w:val="24"/>
        </w:rPr>
        <w:t xml:space="preserve">Gary Hughes – </w:t>
      </w:r>
      <w:proofErr w:type="spellStart"/>
      <w:r>
        <w:rPr>
          <w:rFonts w:asciiTheme="minorHAnsi" w:hAnsiTheme="minorHAnsi"/>
          <w:sz w:val="24"/>
          <w:szCs w:val="24"/>
        </w:rPr>
        <w:t>Chrysaor</w:t>
      </w:r>
      <w:proofErr w:type="spellEnd"/>
      <w:r>
        <w:rPr>
          <w:rFonts w:asciiTheme="minorHAnsi" w:hAnsiTheme="minorHAnsi"/>
          <w:sz w:val="24"/>
          <w:szCs w:val="24"/>
        </w:rPr>
        <w:t xml:space="preserve"> </w:t>
      </w:r>
    </w:p>
    <w:p w:rsidR="00C225B1" w:rsidRDefault="00C225B1" w:rsidP="00420369">
      <w:pPr>
        <w:pStyle w:val="ListParagraph"/>
        <w:numPr>
          <w:ilvl w:val="0"/>
          <w:numId w:val="46"/>
        </w:numPr>
        <w:jc w:val="both"/>
        <w:rPr>
          <w:rFonts w:asciiTheme="minorHAnsi" w:hAnsiTheme="minorHAnsi"/>
          <w:sz w:val="24"/>
          <w:szCs w:val="24"/>
        </w:rPr>
      </w:pPr>
      <w:r>
        <w:rPr>
          <w:rFonts w:asciiTheme="minorHAnsi" w:hAnsiTheme="minorHAnsi"/>
          <w:sz w:val="24"/>
          <w:szCs w:val="24"/>
        </w:rPr>
        <w:t xml:space="preserve">John </w:t>
      </w:r>
      <w:proofErr w:type="spellStart"/>
      <w:r>
        <w:rPr>
          <w:rFonts w:asciiTheme="minorHAnsi" w:hAnsiTheme="minorHAnsi"/>
          <w:sz w:val="24"/>
          <w:szCs w:val="24"/>
        </w:rPr>
        <w:t>Murphie</w:t>
      </w:r>
      <w:proofErr w:type="spellEnd"/>
      <w:r>
        <w:rPr>
          <w:rFonts w:asciiTheme="minorHAnsi" w:hAnsiTheme="minorHAnsi"/>
          <w:sz w:val="24"/>
          <w:szCs w:val="24"/>
        </w:rPr>
        <w:t xml:space="preserve"> - INEOS</w:t>
      </w:r>
    </w:p>
    <w:p w:rsidR="00420369" w:rsidRDefault="00420369" w:rsidP="00420369">
      <w:pPr>
        <w:pStyle w:val="ListParagraph"/>
        <w:numPr>
          <w:ilvl w:val="0"/>
          <w:numId w:val="46"/>
        </w:numPr>
        <w:jc w:val="both"/>
        <w:rPr>
          <w:rFonts w:asciiTheme="minorHAnsi" w:hAnsiTheme="minorHAnsi"/>
          <w:sz w:val="24"/>
          <w:szCs w:val="24"/>
        </w:rPr>
      </w:pPr>
      <w:r>
        <w:rPr>
          <w:rFonts w:asciiTheme="minorHAnsi" w:hAnsiTheme="minorHAnsi"/>
          <w:sz w:val="24"/>
          <w:szCs w:val="24"/>
        </w:rPr>
        <w:t xml:space="preserve">Karen MacLennan – BP </w:t>
      </w:r>
    </w:p>
    <w:p w:rsidR="00420369" w:rsidRDefault="00420369" w:rsidP="00420369">
      <w:pPr>
        <w:pStyle w:val="ListParagraph"/>
        <w:numPr>
          <w:ilvl w:val="0"/>
          <w:numId w:val="46"/>
        </w:numPr>
        <w:jc w:val="both"/>
        <w:rPr>
          <w:rFonts w:asciiTheme="minorHAnsi" w:hAnsiTheme="minorHAnsi"/>
          <w:sz w:val="24"/>
          <w:szCs w:val="24"/>
        </w:rPr>
      </w:pPr>
      <w:r>
        <w:rPr>
          <w:rFonts w:asciiTheme="minorHAnsi" w:hAnsiTheme="minorHAnsi"/>
          <w:sz w:val="24"/>
          <w:szCs w:val="24"/>
        </w:rPr>
        <w:t xml:space="preserve">Peter Newton – BP </w:t>
      </w:r>
    </w:p>
    <w:p w:rsidR="00420369" w:rsidRDefault="00420369" w:rsidP="00420369">
      <w:pPr>
        <w:pStyle w:val="ListParagraph"/>
        <w:numPr>
          <w:ilvl w:val="0"/>
          <w:numId w:val="46"/>
        </w:numPr>
        <w:jc w:val="both"/>
        <w:rPr>
          <w:rFonts w:asciiTheme="minorHAnsi" w:hAnsiTheme="minorHAnsi"/>
          <w:sz w:val="24"/>
          <w:szCs w:val="24"/>
        </w:rPr>
      </w:pPr>
      <w:r>
        <w:rPr>
          <w:rFonts w:asciiTheme="minorHAnsi" w:hAnsiTheme="minorHAnsi"/>
          <w:sz w:val="24"/>
          <w:szCs w:val="24"/>
        </w:rPr>
        <w:t xml:space="preserve">Louise Fotheringham – Shell </w:t>
      </w:r>
      <w:r w:rsidR="00BB30A7">
        <w:rPr>
          <w:rFonts w:asciiTheme="minorHAnsi" w:hAnsiTheme="minorHAnsi"/>
          <w:sz w:val="24"/>
          <w:szCs w:val="24"/>
        </w:rPr>
        <w:t>(Cultural Change Representative)</w:t>
      </w:r>
    </w:p>
    <w:p w:rsidR="00420369" w:rsidRDefault="00420369" w:rsidP="00420369">
      <w:pPr>
        <w:pStyle w:val="ListParagraph"/>
        <w:numPr>
          <w:ilvl w:val="0"/>
          <w:numId w:val="46"/>
        </w:numPr>
        <w:jc w:val="both"/>
        <w:rPr>
          <w:rFonts w:asciiTheme="minorHAnsi" w:hAnsiTheme="minorHAnsi"/>
          <w:sz w:val="24"/>
          <w:szCs w:val="24"/>
        </w:rPr>
      </w:pPr>
      <w:r>
        <w:rPr>
          <w:rFonts w:asciiTheme="minorHAnsi" w:hAnsiTheme="minorHAnsi"/>
          <w:sz w:val="24"/>
          <w:szCs w:val="24"/>
        </w:rPr>
        <w:t xml:space="preserve">Simon Churchfield – OGA </w:t>
      </w:r>
    </w:p>
    <w:p w:rsidR="00BB30A7" w:rsidRDefault="00420369" w:rsidP="00420369">
      <w:pPr>
        <w:pStyle w:val="ListParagraph"/>
        <w:numPr>
          <w:ilvl w:val="0"/>
          <w:numId w:val="46"/>
        </w:numPr>
        <w:jc w:val="both"/>
        <w:rPr>
          <w:rFonts w:asciiTheme="minorHAnsi" w:hAnsiTheme="minorHAnsi"/>
          <w:sz w:val="24"/>
          <w:szCs w:val="24"/>
        </w:rPr>
      </w:pPr>
      <w:r>
        <w:rPr>
          <w:rFonts w:asciiTheme="minorHAnsi" w:hAnsiTheme="minorHAnsi"/>
          <w:sz w:val="24"/>
          <w:szCs w:val="24"/>
        </w:rPr>
        <w:t>Stuart Hardie – ExxonMobil</w:t>
      </w:r>
    </w:p>
    <w:p w:rsidR="00C225B1" w:rsidRDefault="00BB30A7" w:rsidP="00420369">
      <w:pPr>
        <w:pStyle w:val="ListParagraph"/>
        <w:numPr>
          <w:ilvl w:val="0"/>
          <w:numId w:val="46"/>
        </w:numPr>
        <w:jc w:val="both"/>
        <w:rPr>
          <w:rFonts w:asciiTheme="minorHAnsi" w:hAnsiTheme="minorHAnsi"/>
          <w:sz w:val="24"/>
          <w:szCs w:val="24"/>
        </w:rPr>
      </w:pPr>
      <w:r>
        <w:rPr>
          <w:rFonts w:asciiTheme="minorHAnsi" w:hAnsiTheme="minorHAnsi"/>
          <w:sz w:val="24"/>
          <w:szCs w:val="24"/>
        </w:rPr>
        <w:t xml:space="preserve">Mark Dryden-Brownlee </w:t>
      </w:r>
      <w:r w:rsidR="00C225B1">
        <w:rPr>
          <w:rFonts w:asciiTheme="minorHAnsi" w:hAnsiTheme="minorHAnsi"/>
          <w:sz w:val="24"/>
          <w:szCs w:val="24"/>
        </w:rPr>
        <w:t>–</w:t>
      </w:r>
      <w:r>
        <w:rPr>
          <w:rFonts w:asciiTheme="minorHAnsi" w:hAnsiTheme="minorHAnsi"/>
          <w:sz w:val="24"/>
          <w:szCs w:val="24"/>
        </w:rPr>
        <w:t xml:space="preserve"> NSMP</w:t>
      </w:r>
    </w:p>
    <w:p w:rsidR="00EE5BC6" w:rsidRPr="00EE5BC6" w:rsidRDefault="00C225B1" w:rsidP="00EE5BC6">
      <w:pPr>
        <w:pStyle w:val="ListParagraph"/>
        <w:numPr>
          <w:ilvl w:val="0"/>
          <w:numId w:val="46"/>
        </w:numPr>
        <w:jc w:val="both"/>
        <w:rPr>
          <w:rFonts w:asciiTheme="minorHAnsi" w:hAnsiTheme="minorHAnsi"/>
          <w:sz w:val="24"/>
          <w:szCs w:val="24"/>
        </w:rPr>
      </w:pPr>
      <w:r>
        <w:rPr>
          <w:rFonts w:asciiTheme="minorHAnsi" w:hAnsiTheme="minorHAnsi"/>
          <w:sz w:val="24"/>
          <w:szCs w:val="24"/>
        </w:rPr>
        <w:t xml:space="preserve">Peter </w:t>
      </w:r>
      <w:proofErr w:type="spellStart"/>
      <w:r>
        <w:rPr>
          <w:rFonts w:asciiTheme="minorHAnsi" w:hAnsiTheme="minorHAnsi"/>
          <w:sz w:val="24"/>
          <w:szCs w:val="24"/>
        </w:rPr>
        <w:t>Lunny</w:t>
      </w:r>
      <w:proofErr w:type="spellEnd"/>
      <w:r>
        <w:rPr>
          <w:rFonts w:asciiTheme="minorHAnsi" w:hAnsiTheme="minorHAnsi"/>
          <w:sz w:val="24"/>
          <w:szCs w:val="24"/>
        </w:rPr>
        <w:t xml:space="preserve"> - Neptune</w:t>
      </w:r>
      <w:r w:rsidR="00420369">
        <w:rPr>
          <w:rFonts w:asciiTheme="minorHAnsi" w:hAnsiTheme="minorHAnsi"/>
          <w:sz w:val="24"/>
          <w:szCs w:val="24"/>
        </w:rPr>
        <w:t xml:space="preserve"> </w:t>
      </w:r>
    </w:p>
    <w:p w:rsidR="00B003EA" w:rsidRDefault="00B003EA" w:rsidP="00B003EA">
      <w:pPr>
        <w:pStyle w:val="NoSpacing"/>
        <w:jc w:val="both"/>
        <w:rPr>
          <w:sz w:val="24"/>
          <w:szCs w:val="24"/>
        </w:rPr>
      </w:pPr>
      <w:r>
        <w:rPr>
          <w:sz w:val="24"/>
          <w:szCs w:val="24"/>
        </w:rPr>
        <w:lastRenderedPageBreak/>
        <w:t>Administrative and organisational support for the CMF and the Steering Group will be provided by Oil &amp; Gas UK, specifically:</w:t>
      </w:r>
    </w:p>
    <w:p w:rsidR="00B003EA" w:rsidRDefault="00B003EA" w:rsidP="00B003EA">
      <w:pPr>
        <w:pStyle w:val="NoSpacing"/>
        <w:numPr>
          <w:ilvl w:val="0"/>
          <w:numId w:val="47"/>
        </w:numPr>
        <w:jc w:val="both"/>
        <w:rPr>
          <w:sz w:val="24"/>
          <w:szCs w:val="24"/>
        </w:rPr>
      </w:pPr>
      <w:r>
        <w:rPr>
          <w:sz w:val="24"/>
          <w:szCs w:val="24"/>
        </w:rPr>
        <w:t>Convening and organising meetings, issuing agenda and pre-read materials</w:t>
      </w:r>
    </w:p>
    <w:p w:rsidR="00B003EA" w:rsidRDefault="00B003EA" w:rsidP="00B003EA">
      <w:pPr>
        <w:pStyle w:val="NoSpacing"/>
        <w:numPr>
          <w:ilvl w:val="0"/>
          <w:numId w:val="47"/>
        </w:numPr>
        <w:jc w:val="both"/>
        <w:rPr>
          <w:sz w:val="24"/>
          <w:szCs w:val="24"/>
        </w:rPr>
      </w:pPr>
      <w:r>
        <w:rPr>
          <w:sz w:val="24"/>
          <w:szCs w:val="24"/>
        </w:rPr>
        <w:t>Taking minutes of meetings, capturing and tracking agreed actions, and communicating these as soon as practicable after the meeting.</w:t>
      </w:r>
    </w:p>
    <w:p w:rsidR="00B003EA" w:rsidRDefault="00B003EA" w:rsidP="00B003EA">
      <w:pPr>
        <w:pStyle w:val="NoSpacing"/>
        <w:numPr>
          <w:ilvl w:val="0"/>
          <w:numId w:val="47"/>
        </w:numPr>
        <w:jc w:val="both"/>
        <w:rPr>
          <w:sz w:val="24"/>
          <w:szCs w:val="24"/>
        </w:rPr>
      </w:pPr>
      <w:r>
        <w:rPr>
          <w:sz w:val="24"/>
          <w:szCs w:val="24"/>
        </w:rPr>
        <w:t>Storing and managing all data and documents associated with the work of the CMF.</w:t>
      </w:r>
    </w:p>
    <w:p w:rsidR="00B003EA" w:rsidRDefault="00B003EA" w:rsidP="00B003EA">
      <w:pPr>
        <w:pStyle w:val="NoSpacing"/>
        <w:ind w:left="1080"/>
        <w:jc w:val="both"/>
        <w:rPr>
          <w:sz w:val="24"/>
          <w:szCs w:val="24"/>
        </w:rPr>
      </w:pPr>
    </w:p>
    <w:p w:rsidR="00B003EA" w:rsidRDefault="00B003EA" w:rsidP="00B003EA">
      <w:pPr>
        <w:pStyle w:val="NoSpacing"/>
        <w:jc w:val="both"/>
        <w:rPr>
          <w:sz w:val="24"/>
          <w:szCs w:val="24"/>
        </w:rPr>
      </w:pPr>
      <w:r>
        <w:rPr>
          <w:sz w:val="24"/>
          <w:szCs w:val="24"/>
        </w:rPr>
        <w:t xml:space="preserve">The CMF will refer to Oil &amp; Gas UK’s </w:t>
      </w:r>
      <w:r w:rsidR="005E05BB">
        <w:rPr>
          <w:sz w:val="24"/>
          <w:szCs w:val="24"/>
        </w:rPr>
        <w:t>Operations</w:t>
      </w:r>
      <w:r>
        <w:rPr>
          <w:sz w:val="24"/>
          <w:szCs w:val="24"/>
        </w:rPr>
        <w:t xml:space="preserve"> Director for support, linkage within Oil &amp; Gas UK, and assessing all aspects of the organisation’s government and public relations and media services. </w:t>
      </w:r>
    </w:p>
    <w:p w:rsidR="00872AC7" w:rsidRDefault="00872AC7" w:rsidP="00B003EA">
      <w:pPr>
        <w:pStyle w:val="NoSpacing"/>
        <w:jc w:val="both"/>
        <w:rPr>
          <w:sz w:val="24"/>
          <w:szCs w:val="24"/>
        </w:rPr>
      </w:pPr>
    </w:p>
    <w:p w:rsidR="0088319C" w:rsidRPr="006678BB" w:rsidRDefault="00434887" w:rsidP="0088319C">
      <w:pPr>
        <w:pStyle w:val="NoSpacing"/>
        <w:shd w:val="clear" w:color="auto" w:fill="808080" w:themeFill="background1" w:themeFillShade="80"/>
        <w:jc w:val="both"/>
        <w:rPr>
          <w:b/>
          <w:color w:val="FFFFFF" w:themeColor="background1"/>
        </w:rPr>
      </w:pPr>
      <w:r>
        <w:rPr>
          <w:b/>
          <w:color w:val="FFFFFF" w:themeColor="background1"/>
        </w:rPr>
        <w:t xml:space="preserve">Commercial work Groups - </w:t>
      </w:r>
    </w:p>
    <w:p w:rsidR="006A2655" w:rsidRDefault="006A2655" w:rsidP="006A2655">
      <w:pPr>
        <w:pStyle w:val="NoSpacing"/>
        <w:jc w:val="both"/>
      </w:pPr>
    </w:p>
    <w:p w:rsidR="00434887" w:rsidRDefault="00434887" w:rsidP="00434887">
      <w:pPr>
        <w:jc w:val="both"/>
        <w:rPr>
          <w:rFonts w:asciiTheme="minorHAnsi" w:hAnsiTheme="minorHAnsi"/>
          <w:sz w:val="24"/>
          <w:szCs w:val="24"/>
        </w:rPr>
      </w:pPr>
      <w:r>
        <w:rPr>
          <w:rFonts w:asciiTheme="minorHAnsi" w:hAnsiTheme="minorHAnsi"/>
          <w:sz w:val="24"/>
          <w:szCs w:val="24"/>
        </w:rPr>
        <w:t xml:space="preserve">The CMF provides a platform for Commercial Work Groups to be formed to own and work specific work streams, and for progress to be communicated. Work Groups may be ongoing or may exist for a defined </w:t>
      </w:r>
      <w:proofErr w:type="gramStart"/>
      <w:r>
        <w:rPr>
          <w:rFonts w:asciiTheme="minorHAnsi" w:hAnsiTheme="minorHAnsi"/>
          <w:sz w:val="24"/>
          <w:szCs w:val="24"/>
        </w:rPr>
        <w:t>period of time</w:t>
      </w:r>
      <w:proofErr w:type="gramEnd"/>
      <w:r>
        <w:rPr>
          <w:rFonts w:asciiTheme="minorHAnsi" w:hAnsiTheme="minorHAnsi"/>
          <w:sz w:val="24"/>
          <w:szCs w:val="24"/>
        </w:rPr>
        <w:t xml:space="preserve"> to deliver a specific project. Each Work Group will generally be led by a member of the Steering Group &amp; resourced by the broader CMF using the full range of resource available within their respective organisations (including commercial &amp; legal practitioners, subject matter experts, etc.). Each Work Group will publish an activity plan highlighting where support from the broader CMF will likely be needed and will provide </w:t>
      </w:r>
      <w:r w:rsidR="00ED38DE">
        <w:rPr>
          <w:rFonts w:asciiTheme="minorHAnsi" w:hAnsiTheme="minorHAnsi"/>
          <w:sz w:val="24"/>
          <w:szCs w:val="24"/>
        </w:rPr>
        <w:t>monthly</w:t>
      </w:r>
      <w:r>
        <w:rPr>
          <w:rFonts w:asciiTheme="minorHAnsi" w:hAnsiTheme="minorHAnsi"/>
          <w:sz w:val="24"/>
          <w:szCs w:val="24"/>
        </w:rPr>
        <w:t xml:space="preserve"> updates for endorsement at CMF meetings.</w:t>
      </w:r>
    </w:p>
    <w:p w:rsidR="00434887" w:rsidRDefault="00434887" w:rsidP="00434887">
      <w:pPr>
        <w:rPr>
          <w:rFonts w:asciiTheme="minorHAnsi" w:hAnsiTheme="minorHAnsi"/>
          <w:sz w:val="24"/>
          <w:szCs w:val="24"/>
        </w:rPr>
      </w:pPr>
    </w:p>
    <w:p w:rsidR="00434887" w:rsidRDefault="00434887" w:rsidP="00434887">
      <w:pPr>
        <w:jc w:val="both"/>
        <w:rPr>
          <w:rFonts w:asciiTheme="minorHAnsi" w:hAnsiTheme="minorHAnsi"/>
          <w:sz w:val="24"/>
          <w:szCs w:val="24"/>
        </w:rPr>
      </w:pPr>
      <w:r>
        <w:rPr>
          <w:rFonts w:asciiTheme="minorHAnsi" w:hAnsiTheme="minorHAnsi"/>
          <w:sz w:val="24"/>
          <w:szCs w:val="24"/>
        </w:rPr>
        <w:t>As of March 2020, Commercial Work Groups and leads are as follows:</w:t>
      </w:r>
    </w:p>
    <w:p w:rsidR="00434887" w:rsidRDefault="00434887" w:rsidP="00434887">
      <w:pPr>
        <w:jc w:val="both"/>
        <w:rPr>
          <w:rFonts w:asciiTheme="minorHAnsi" w:hAnsiTheme="minorHAnsi"/>
          <w:sz w:val="24"/>
          <w:szCs w:val="24"/>
        </w:rPr>
      </w:pPr>
    </w:p>
    <w:p w:rsidR="00434887" w:rsidRPr="00434887" w:rsidRDefault="00434887" w:rsidP="00434887">
      <w:pPr>
        <w:pStyle w:val="ListParagraph"/>
        <w:numPr>
          <w:ilvl w:val="0"/>
          <w:numId w:val="46"/>
        </w:numPr>
        <w:jc w:val="both"/>
        <w:rPr>
          <w:rFonts w:asciiTheme="minorHAnsi" w:hAnsiTheme="minorHAnsi"/>
          <w:sz w:val="24"/>
          <w:szCs w:val="24"/>
        </w:rPr>
      </w:pPr>
      <w:r>
        <w:rPr>
          <w:rFonts w:asciiTheme="minorHAnsi" w:hAnsiTheme="minorHAnsi"/>
          <w:b/>
          <w:bCs/>
          <w:sz w:val="24"/>
          <w:szCs w:val="24"/>
        </w:rPr>
        <w:t xml:space="preserve">Infrastructure – </w:t>
      </w:r>
      <w:r w:rsidRPr="00434887">
        <w:rPr>
          <w:rFonts w:asciiTheme="minorHAnsi" w:hAnsiTheme="minorHAnsi"/>
          <w:sz w:val="24"/>
          <w:szCs w:val="24"/>
        </w:rPr>
        <w:t>D</w:t>
      </w:r>
      <w:r>
        <w:rPr>
          <w:rFonts w:asciiTheme="minorHAnsi" w:hAnsiTheme="minorHAnsi"/>
          <w:sz w:val="24"/>
          <w:szCs w:val="24"/>
        </w:rPr>
        <w:t xml:space="preserve">avid </w:t>
      </w:r>
      <w:r w:rsidRPr="00434887">
        <w:rPr>
          <w:rFonts w:asciiTheme="minorHAnsi" w:hAnsiTheme="minorHAnsi"/>
          <w:sz w:val="24"/>
          <w:szCs w:val="24"/>
        </w:rPr>
        <w:t xml:space="preserve">Hampton </w:t>
      </w:r>
    </w:p>
    <w:p w:rsidR="00434887" w:rsidRPr="00434887" w:rsidRDefault="00434887" w:rsidP="00434887">
      <w:pPr>
        <w:pStyle w:val="ListParagraph"/>
        <w:numPr>
          <w:ilvl w:val="0"/>
          <w:numId w:val="46"/>
        </w:numPr>
        <w:jc w:val="both"/>
        <w:rPr>
          <w:rFonts w:asciiTheme="minorHAnsi" w:hAnsiTheme="minorHAnsi"/>
          <w:sz w:val="24"/>
          <w:szCs w:val="24"/>
        </w:rPr>
      </w:pPr>
      <w:r>
        <w:rPr>
          <w:rFonts w:asciiTheme="minorHAnsi" w:hAnsiTheme="minorHAnsi"/>
          <w:b/>
          <w:bCs/>
          <w:sz w:val="24"/>
          <w:szCs w:val="24"/>
        </w:rPr>
        <w:t xml:space="preserve">Case Study Workgroup – </w:t>
      </w:r>
      <w:r>
        <w:rPr>
          <w:rFonts w:asciiTheme="minorHAnsi" w:hAnsiTheme="minorHAnsi"/>
          <w:sz w:val="24"/>
          <w:szCs w:val="24"/>
        </w:rPr>
        <w:t>Gary Hughes</w:t>
      </w:r>
    </w:p>
    <w:p w:rsidR="00434887" w:rsidRPr="00434887" w:rsidRDefault="00434887" w:rsidP="00434887">
      <w:pPr>
        <w:pStyle w:val="ListParagraph"/>
        <w:numPr>
          <w:ilvl w:val="0"/>
          <w:numId w:val="46"/>
        </w:numPr>
        <w:jc w:val="both"/>
        <w:rPr>
          <w:rFonts w:asciiTheme="minorHAnsi" w:hAnsiTheme="minorHAnsi"/>
          <w:sz w:val="24"/>
          <w:szCs w:val="24"/>
        </w:rPr>
      </w:pPr>
      <w:r>
        <w:rPr>
          <w:rFonts w:asciiTheme="minorHAnsi" w:hAnsiTheme="minorHAnsi"/>
          <w:b/>
          <w:bCs/>
          <w:sz w:val="24"/>
          <w:szCs w:val="24"/>
        </w:rPr>
        <w:t xml:space="preserve">Energy Transition – </w:t>
      </w:r>
      <w:r>
        <w:rPr>
          <w:rFonts w:asciiTheme="minorHAnsi" w:hAnsiTheme="minorHAnsi"/>
          <w:sz w:val="24"/>
          <w:szCs w:val="24"/>
        </w:rPr>
        <w:t>Peter Newton</w:t>
      </w:r>
      <w:r>
        <w:rPr>
          <w:rFonts w:asciiTheme="minorHAnsi" w:hAnsiTheme="minorHAnsi"/>
          <w:b/>
          <w:bCs/>
          <w:sz w:val="24"/>
          <w:szCs w:val="24"/>
        </w:rPr>
        <w:t xml:space="preserve"> </w:t>
      </w:r>
    </w:p>
    <w:p w:rsidR="00434887" w:rsidRPr="00581B87" w:rsidRDefault="00434887" w:rsidP="00434887">
      <w:pPr>
        <w:pStyle w:val="ListParagraph"/>
        <w:numPr>
          <w:ilvl w:val="0"/>
          <w:numId w:val="46"/>
        </w:numPr>
        <w:jc w:val="both"/>
        <w:rPr>
          <w:rFonts w:asciiTheme="minorHAnsi" w:hAnsiTheme="minorHAnsi"/>
          <w:sz w:val="24"/>
          <w:szCs w:val="24"/>
        </w:rPr>
      </w:pPr>
      <w:r>
        <w:rPr>
          <w:rFonts w:asciiTheme="minorHAnsi" w:hAnsiTheme="minorHAnsi"/>
          <w:b/>
          <w:bCs/>
          <w:sz w:val="24"/>
          <w:szCs w:val="24"/>
        </w:rPr>
        <w:t xml:space="preserve">After Action Report Workgroup </w:t>
      </w:r>
      <w:r w:rsidR="00581B87">
        <w:rPr>
          <w:rFonts w:asciiTheme="minorHAnsi" w:hAnsiTheme="minorHAnsi"/>
          <w:b/>
          <w:bCs/>
          <w:sz w:val="24"/>
          <w:szCs w:val="24"/>
        </w:rPr>
        <w:t>–</w:t>
      </w:r>
      <w:r>
        <w:rPr>
          <w:rFonts w:asciiTheme="minorHAnsi" w:hAnsiTheme="minorHAnsi"/>
          <w:b/>
          <w:bCs/>
          <w:sz w:val="24"/>
          <w:szCs w:val="24"/>
        </w:rPr>
        <w:t xml:space="preserve"> </w:t>
      </w:r>
      <w:r w:rsidRPr="00434887">
        <w:rPr>
          <w:rFonts w:asciiTheme="minorHAnsi" w:hAnsiTheme="minorHAnsi"/>
          <w:i/>
          <w:iCs/>
          <w:sz w:val="24"/>
          <w:szCs w:val="24"/>
        </w:rPr>
        <w:t>TBC</w:t>
      </w:r>
      <w:r w:rsidR="00C225B1">
        <w:rPr>
          <w:rFonts w:asciiTheme="minorHAnsi" w:hAnsiTheme="minorHAnsi"/>
          <w:i/>
          <w:iCs/>
          <w:sz w:val="24"/>
          <w:szCs w:val="24"/>
        </w:rPr>
        <w:t xml:space="preserve"> (Carl Fiddimore as interim)</w:t>
      </w:r>
    </w:p>
    <w:p w:rsidR="00581B87" w:rsidRPr="00434887" w:rsidRDefault="00581B87" w:rsidP="00581B87">
      <w:pPr>
        <w:pStyle w:val="ListParagraph"/>
        <w:jc w:val="both"/>
        <w:rPr>
          <w:rFonts w:asciiTheme="minorHAnsi" w:hAnsiTheme="minorHAnsi"/>
          <w:sz w:val="24"/>
          <w:szCs w:val="24"/>
        </w:rPr>
      </w:pPr>
    </w:p>
    <w:p w:rsidR="00581B87" w:rsidRPr="00581B87" w:rsidRDefault="00581B87" w:rsidP="00581B87">
      <w:pPr>
        <w:pStyle w:val="NoSpacing"/>
        <w:shd w:val="clear" w:color="auto" w:fill="808080" w:themeFill="background1" w:themeFillShade="80"/>
        <w:jc w:val="both"/>
        <w:rPr>
          <w:b/>
          <w:color w:val="FFFFFF" w:themeColor="background1"/>
          <w:sz w:val="24"/>
          <w:szCs w:val="24"/>
        </w:rPr>
      </w:pPr>
      <w:r w:rsidRPr="00581B87">
        <w:rPr>
          <w:b/>
          <w:color w:val="FFFFFF" w:themeColor="background1"/>
          <w:sz w:val="24"/>
          <w:szCs w:val="24"/>
        </w:rPr>
        <w:t xml:space="preserve">Meeting Frequency </w:t>
      </w:r>
    </w:p>
    <w:p w:rsidR="00581B87" w:rsidRDefault="00581B87" w:rsidP="00581B87">
      <w:pPr>
        <w:rPr>
          <w:rFonts w:asciiTheme="minorHAnsi" w:hAnsiTheme="minorHAnsi"/>
          <w:b/>
          <w:sz w:val="24"/>
          <w:szCs w:val="24"/>
        </w:rPr>
      </w:pPr>
    </w:p>
    <w:p w:rsidR="00581B87" w:rsidRDefault="00581B87" w:rsidP="00581B87">
      <w:pPr>
        <w:jc w:val="both"/>
        <w:rPr>
          <w:rFonts w:asciiTheme="minorHAnsi" w:hAnsiTheme="minorHAnsi"/>
          <w:sz w:val="24"/>
          <w:szCs w:val="24"/>
        </w:rPr>
      </w:pPr>
      <w:r>
        <w:rPr>
          <w:rFonts w:asciiTheme="minorHAnsi" w:hAnsiTheme="minorHAnsi"/>
          <w:sz w:val="24"/>
          <w:szCs w:val="24"/>
        </w:rPr>
        <w:t xml:space="preserve">The full CMF will generally meet for half a day, twice per year. </w:t>
      </w:r>
      <w:r w:rsidR="00ED38DE">
        <w:rPr>
          <w:rFonts w:asciiTheme="minorHAnsi" w:hAnsiTheme="minorHAnsi"/>
          <w:sz w:val="24"/>
          <w:szCs w:val="24"/>
        </w:rPr>
        <w:t>Forum</w:t>
      </w:r>
      <w:r>
        <w:rPr>
          <w:rFonts w:asciiTheme="minorHAnsi" w:hAnsiTheme="minorHAnsi"/>
          <w:sz w:val="24"/>
          <w:szCs w:val="24"/>
        </w:rPr>
        <w:t>s will have an agenda that has been circulated in advance, and meeting minutes will be taken and circulated. Typical discussion topics are likely to include:</w:t>
      </w:r>
    </w:p>
    <w:p w:rsidR="00581B87" w:rsidRDefault="00581B87" w:rsidP="00581B87">
      <w:pPr>
        <w:pStyle w:val="ListParagraph"/>
        <w:numPr>
          <w:ilvl w:val="0"/>
          <w:numId w:val="48"/>
        </w:numPr>
        <w:rPr>
          <w:rFonts w:asciiTheme="minorHAnsi" w:hAnsiTheme="minorHAnsi"/>
          <w:sz w:val="24"/>
          <w:szCs w:val="24"/>
        </w:rPr>
      </w:pPr>
      <w:r>
        <w:rPr>
          <w:rFonts w:asciiTheme="minorHAnsi" w:hAnsiTheme="minorHAnsi"/>
          <w:sz w:val="24"/>
          <w:szCs w:val="24"/>
        </w:rPr>
        <w:t xml:space="preserve">Updates on progress from Commercial Work Groups, identification of support needed from CMF members and their respective organisations, presentation and discussion of forward plans. </w:t>
      </w:r>
    </w:p>
    <w:p w:rsidR="00581B87" w:rsidRDefault="00581B87" w:rsidP="00581B87">
      <w:pPr>
        <w:pStyle w:val="ListParagraph"/>
        <w:numPr>
          <w:ilvl w:val="0"/>
          <w:numId w:val="48"/>
        </w:numPr>
        <w:rPr>
          <w:rFonts w:asciiTheme="minorHAnsi" w:hAnsiTheme="minorHAnsi"/>
          <w:sz w:val="24"/>
          <w:szCs w:val="24"/>
        </w:rPr>
      </w:pPr>
      <w:r>
        <w:rPr>
          <w:rFonts w:asciiTheme="minorHAnsi" w:hAnsiTheme="minorHAnsi"/>
          <w:sz w:val="24"/>
          <w:szCs w:val="24"/>
        </w:rPr>
        <w:t>Sharing of key success stories and lessons learned in the context of MER UK.</w:t>
      </w:r>
    </w:p>
    <w:p w:rsidR="00581B87" w:rsidRDefault="00581B87" w:rsidP="00581B87">
      <w:pPr>
        <w:pStyle w:val="ListParagraph"/>
        <w:numPr>
          <w:ilvl w:val="0"/>
          <w:numId w:val="48"/>
        </w:numPr>
        <w:rPr>
          <w:rFonts w:asciiTheme="minorHAnsi" w:hAnsiTheme="minorHAnsi"/>
          <w:sz w:val="24"/>
          <w:szCs w:val="24"/>
        </w:rPr>
      </w:pPr>
      <w:r>
        <w:rPr>
          <w:rFonts w:asciiTheme="minorHAnsi" w:hAnsiTheme="minorHAnsi"/>
          <w:sz w:val="24"/>
          <w:szCs w:val="24"/>
        </w:rPr>
        <w:t>Review of status of ICOP/CCOP, including performance data.</w:t>
      </w:r>
    </w:p>
    <w:p w:rsidR="00BB30A7" w:rsidRDefault="00BB30A7" w:rsidP="00581B87">
      <w:pPr>
        <w:pStyle w:val="ListParagraph"/>
        <w:numPr>
          <w:ilvl w:val="0"/>
          <w:numId w:val="48"/>
        </w:numPr>
        <w:rPr>
          <w:rFonts w:asciiTheme="minorHAnsi" w:hAnsiTheme="minorHAnsi"/>
          <w:sz w:val="24"/>
          <w:szCs w:val="24"/>
        </w:rPr>
      </w:pPr>
      <w:r>
        <w:rPr>
          <w:rFonts w:asciiTheme="minorHAnsi" w:hAnsiTheme="minorHAnsi"/>
          <w:sz w:val="24"/>
          <w:szCs w:val="24"/>
        </w:rPr>
        <w:t xml:space="preserve">Input to selecting future Work Group topics and </w:t>
      </w:r>
      <w:r w:rsidR="00C225B1">
        <w:rPr>
          <w:rFonts w:asciiTheme="minorHAnsi" w:hAnsiTheme="minorHAnsi"/>
          <w:sz w:val="24"/>
          <w:szCs w:val="24"/>
        </w:rPr>
        <w:t xml:space="preserve">seeking </w:t>
      </w:r>
      <w:r>
        <w:rPr>
          <w:rFonts w:asciiTheme="minorHAnsi" w:hAnsiTheme="minorHAnsi"/>
          <w:sz w:val="24"/>
          <w:szCs w:val="24"/>
        </w:rPr>
        <w:t>volunteer</w:t>
      </w:r>
      <w:r w:rsidR="00C225B1">
        <w:rPr>
          <w:rFonts w:asciiTheme="minorHAnsi" w:hAnsiTheme="minorHAnsi"/>
          <w:sz w:val="24"/>
          <w:szCs w:val="24"/>
        </w:rPr>
        <w:t>s</w:t>
      </w:r>
      <w:r>
        <w:rPr>
          <w:rFonts w:asciiTheme="minorHAnsi" w:hAnsiTheme="minorHAnsi"/>
          <w:sz w:val="24"/>
          <w:szCs w:val="24"/>
        </w:rPr>
        <w:t xml:space="preserve"> to help deliver these. </w:t>
      </w:r>
    </w:p>
    <w:p w:rsidR="00581B87" w:rsidRDefault="00581B87" w:rsidP="00581B87">
      <w:pPr>
        <w:jc w:val="both"/>
        <w:rPr>
          <w:rFonts w:asciiTheme="minorHAnsi" w:hAnsiTheme="minorHAnsi"/>
          <w:sz w:val="24"/>
          <w:szCs w:val="24"/>
        </w:rPr>
      </w:pPr>
    </w:p>
    <w:p w:rsidR="00581B87" w:rsidRDefault="00581B87" w:rsidP="00581B87">
      <w:pPr>
        <w:jc w:val="both"/>
        <w:rPr>
          <w:rFonts w:asciiTheme="minorHAnsi" w:hAnsiTheme="minorHAnsi"/>
          <w:sz w:val="24"/>
          <w:szCs w:val="24"/>
        </w:rPr>
      </w:pPr>
      <w:r>
        <w:rPr>
          <w:rFonts w:asciiTheme="minorHAnsi" w:hAnsiTheme="minorHAnsi"/>
          <w:sz w:val="24"/>
          <w:szCs w:val="24"/>
        </w:rPr>
        <w:t xml:space="preserve">The Steering Group will meet the second week of every month, alternating between different steering committee member offices. Minutes will be shared amongst the group via email trail and approved at the following meeting. The Steering Group will also provide periodic email updates to CMF members between meetings. </w:t>
      </w:r>
    </w:p>
    <w:p w:rsidR="00581B87" w:rsidRDefault="00581B87" w:rsidP="00581B87">
      <w:pPr>
        <w:jc w:val="left"/>
        <w:rPr>
          <w:rFonts w:asciiTheme="minorHAnsi" w:hAnsiTheme="minorHAnsi"/>
          <w:b/>
          <w:sz w:val="24"/>
          <w:szCs w:val="24"/>
        </w:rPr>
      </w:pPr>
    </w:p>
    <w:p w:rsidR="00581B87" w:rsidRDefault="00581B87" w:rsidP="00581B87">
      <w:pPr>
        <w:pStyle w:val="NoSpacing"/>
        <w:shd w:val="clear" w:color="auto" w:fill="808080" w:themeFill="background1" w:themeFillShade="80"/>
        <w:jc w:val="both"/>
        <w:rPr>
          <w:b/>
          <w:sz w:val="24"/>
          <w:szCs w:val="24"/>
        </w:rPr>
      </w:pPr>
      <w:r>
        <w:rPr>
          <w:b/>
          <w:sz w:val="24"/>
          <w:szCs w:val="24"/>
        </w:rPr>
        <w:t>External Linkages &amp; Reporting</w:t>
      </w:r>
    </w:p>
    <w:p w:rsidR="00581B87" w:rsidRDefault="00581B87" w:rsidP="00581B87">
      <w:pPr>
        <w:jc w:val="left"/>
        <w:rPr>
          <w:rFonts w:asciiTheme="minorHAnsi" w:hAnsiTheme="minorHAnsi"/>
          <w:b/>
          <w:sz w:val="24"/>
          <w:szCs w:val="24"/>
        </w:rPr>
      </w:pPr>
    </w:p>
    <w:p w:rsidR="00581B87" w:rsidRDefault="00581B87" w:rsidP="00581B87">
      <w:pPr>
        <w:jc w:val="both"/>
        <w:rPr>
          <w:rFonts w:asciiTheme="minorHAnsi" w:hAnsiTheme="minorHAnsi"/>
          <w:sz w:val="24"/>
          <w:szCs w:val="24"/>
        </w:rPr>
      </w:pPr>
      <w:r>
        <w:rPr>
          <w:rFonts w:asciiTheme="minorHAnsi" w:hAnsiTheme="minorHAnsi"/>
          <w:sz w:val="24"/>
          <w:szCs w:val="24"/>
        </w:rPr>
        <w:t>The CMF is led by industry and Oil &amp; Gas UK. It will provide updates to the Oil &amp; Gas UK Board and the Oil &amp; Gas Authority as required. It is acknowledged that there will be overlapping interests with the Oil &amp; Gas UK Operators Legal Committee (OLC) and the CMF will coordinate activity with the OLC as required, including organising joint meetings and communication where this is deemed appropriate.</w:t>
      </w:r>
    </w:p>
    <w:p w:rsidR="00434887" w:rsidRDefault="00434887" w:rsidP="006A2655">
      <w:pPr>
        <w:pStyle w:val="NoSpacing"/>
        <w:jc w:val="both"/>
      </w:pPr>
    </w:p>
    <w:p w:rsidR="005D0DC7" w:rsidRDefault="005D0DC7" w:rsidP="009E7961">
      <w:pPr>
        <w:jc w:val="left"/>
        <w:rPr>
          <w:rFonts w:asciiTheme="minorHAnsi" w:hAnsiTheme="minorHAnsi"/>
          <w:b/>
          <w:color w:val="000000" w:themeColor="text1"/>
        </w:rPr>
      </w:pPr>
    </w:p>
    <w:p w:rsidR="009068E7" w:rsidRDefault="005D0DC7" w:rsidP="009E7961">
      <w:pPr>
        <w:jc w:val="left"/>
        <w:rPr>
          <w:rFonts w:asciiTheme="minorHAnsi" w:hAnsiTheme="minorHAnsi"/>
          <w:b/>
          <w:color w:val="000000" w:themeColor="text1"/>
        </w:rPr>
      </w:pPr>
      <w:r>
        <w:rPr>
          <w:rFonts w:asciiTheme="minorHAnsi" w:hAnsiTheme="minorHAnsi"/>
          <w:b/>
          <w:color w:val="000000" w:themeColor="text1"/>
        </w:rPr>
        <w:t>Note:</w:t>
      </w:r>
    </w:p>
    <w:p w:rsidR="005D0DC7" w:rsidRPr="00876268" w:rsidRDefault="009068E7" w:rsidP="009E7961">
      <w:pPr>
        <w:jc w:val="left"/>
        <w:rPr>
          <w:rFonts w:asciiTheme="minorHAnsi" w:hAnsiTheme="minorHAnsi"/>
          <w:color w:val="000000" w:themeColor="text1"/>
        </w:rPr>
      </w:pPr>
      <w:r w:rsidRPr="00876268">
        <w:rPr>
          <w:rFonts w:asciiTheme="minorHAnsi" w:hAnsiTheme="minorHAnsi"/>
          <w:color w:val="000000" w:themeColor="text1"/>
        </w:rPr>
        <w:t>A</w:t>
      </w:r>
      <w:r w:rsidR="005D0DC7" w:rsidRPr="00876268">
        <w:rPr>
          <w:rFonts w:asciiTheme="minorHAnsi" w:hAnsiTheme="minorHAnsi"/>
          <w:color w:val="000000" w:themeColor="text1"/>
        </w:rPr>
        <w:t>ll meetings are subject to our Competition Law Compliance Policy</w:t>
      </w:r>
      <w:r w:rsidRPr="00876268">
        <w:rPr>
          <w:rFonts w:asciiTheme="minorHAnsi" w:hAnsiTheme="minorHAnsi"/>
          <w:color w:val="000000" w:themeColor="text1"/>
        </w:rPr>
        <w:t xml:space="preserve"> - </w:t>
      </w:r>
      <w:r w:rsidR="008E61CE" w:rsidRPr="00876268">
        <w:rPr>
          <w:rFonts w:asciiTheme="minorHAnsi" w:hAnsiTheme="minorHAnsi"/>
          <w:color w:val="000000" w:themeColor="text1"/>
        </w:rPr>
        <w:t xml:space="preserve">see </w:t>
      </w:r>
      <w:hyperlink r:id="rId9" w:history="1">
        <w:r w:rsidR="008E61CE" w:rsidRPr="00333937">
          <w:rPr>
            <w:rStyle w:val="Hyperlink"/>
            <w:rFonts w:asciiTheme="minorHAnsi" w:hAnsiTheme="minorHAnsi"/>
          </w:rPr>
          <w:t>http://oilandgasuk.co.uk/legalservices.cfm</w:t>
        </w:r>
      </w:hyperlink>
      <w:r w:rsidR="008E61CE">
        <w:rPr>
          <w:rFonts w:asciiTheme="minorHAnsi" w:hAnsiTheme="minorHAnsi"/>
          <w:color w:val="000000" w:themeColor="text1"/>
        </w:rPr>
        <w:t xml:space="preserve"> </w:t>
      </w:r>
      <w:r w:rsidR="005D0DC7" w:rsidRPr="00876268">
        <w:rPr>
          <w:rFonts w:asciiTheme="minorHAnsi" w:hAnsiTheme="minorHAnsi"/>
          <w:color w:val="000000" w:themeColor="text1"/>
        </w:rPr>
        <w:t xml:space="preserve">  </w:t>
      </w:r>
      <w:r w:rsidR="008E61CE">
        <w:rPr>
          <w:rFonts w:asciiTheme="minorHAnsi" w:hAnsiTheme="minorHAnsi"/>
          <w:color w:val="000000" w:themeColor="text1"/>
        </w:rPr>
        <w:t xml:space="preserve"> </w:t>
      </w:r>
    </w:p>
    <w:sectPr w:rsidR="005D0DC7" w:rsidRPr="00876268" w:rsidSect="006678BB">
      <w:headerReference w:type="even" r:id="rId10"/>
      <w:headerReference w:type="default" r:id="rId11"/>
      <w:footerReference w:type="default" r:id="rId12"/>
      <w:type w:val="continuous"/>
      <w:pgSz w:w="12240" w:h="15840"/>
      <w:pgMar w:top="2237" w:right="616" w:bottom="919" w:left="919"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40F" w:rsidRDefault="008F540F" w:rsidP="00B431A1">
      <w:r>
        <w:separator/>
      </w:r>
    </w:p>
  </w:endnote>
  <w:endnote w:type="continuationSeparator" w:id="0">
    <w:p w:rsidR="008F540F" w:rsidRDefault="008F540F" w:rsidP="00B4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0A7" w:rsidRDefault="00BB30A7">
    <w:pPr>
      <w:pStyle w:val="Footer"/>
    </w:pPr>
    <w:r w:rsidRPr="008825E9">
      <w:rPr>
        <w:rFonts w:asciiTheme="minorHAnsi" w:hAnsiTheme="minorHAnsi"/>
        <w:b/>
        <w:noProof/>
        <w:color w:val="000000" w:themeColor="text1"/>
        <w:sz w:val="32"/>
        <w:szCs w:val="32"/>
        <w:lang w:eastAsia="en-GB"/>
      </w:rPr>
      <w:drawing>
        <wp:anchor distT="0" distB="0" distL="114300" distR="114300" simplePos="0" relativeHeight="251658240" behindDoc="1" locked="0" layoutInCell="1" allowOverlap="1" wp14:anchorId="26C86098" wp14:editId="702E5E4A">
          <wp:simplePos x="0" y="0"/>
          <wp:positionH relativeFrom="column">
            <wp:posOffset>-247650</wp:posOffset>
          </wp:positionH>
          <wp:positionV relativeFrom="paragraph">
            <wp:posOffset>866775</wp:posOffset>
          </wp:positionV>
          <wp:extent cx="7562850" cy="1621790"/>
          <wp:effectExtent l="0" t="0" r="635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 &amp; Gas UK A4 Letterhead 2014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6217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40F" w:rsidRDefault="008F540F" w:rsidP="00B431A1">
      <w:r>
        <w:separator/>
      </w:r>
    </w:p>
  </w:footnote>
  <w:footnote w:type="continuationSeparator" w:id="0">
    <w:p w:rsidR="008F540F" w:rsidRDefault="008F540F" w:rsidP="00B431A1">
      <w:r>
        <w:continuationSeparator/>
      </w:r>
    </w:p>
  </w:footnote>
  <w:footnote w:id="1">
    <w:p w:rsidR="00BB30A7" w:rsidRDefault="00BB30A7" w:rsidP="00B003EA">
      <w:pPr>
        <w:pStyle w:val="FootnoteText"/>
        <w:jc w:val="left"/>
      </w:pPr>
      <w:r>
        <w:rPr>
          <w:rStyle w:val="FootnoteReference"/>
        </w:rPr>
        <w:footnoteRef/>
      </w:r>
      <w:r>
        <w:t xml:space="preserve"> Oil &amp; Gas UK’s Competition Law Compliance Policy can be found at: </w:t>
      </w:r>
      <w:hyperlink r:id="rId1" w:history="1">
        <w:r>
          <w:rPr>
            <w:rStyle w:val="Hyperlink"/>
          </w:rPr>
          <w:t>http://oilandgasuk.co.uk/legalservices.cfm</w:t>
        </w:r>
      </w:hyperlink>
    </w:p>
  </w:footnote>
  <w:footnote w:id="2">
    <w:p w:rsidR="00BB30A7" w:rsidRDefault="00BB30A7" w:rsidP="00B003EA">
      <w:pPr>
        <w:pStyle w:val="FootnoteText"/>
        <w:jc w:val="left"/>
      </w:pPr>
      <w:r>
        <w:rPr>
          <w:rStyle w:val="FootnoteReference"/>
        </w:rPr>
        <w:footnoteRef/>
      </w:r>
      <w:r>
        <w:t xml:space="preserve"> A chart of Oil &amp; Gas UK’s Forums and Work Groups can be found at </w:t>
      </w:r>
      <w:hyperlink r:id="rId2" w:history="1">
        <w:r>
          <w:rPr>
            <w:rStyle w:val="Hyperlink"/>
          </w:rPr>
          <w:t>http://oilandgasuk.co.uk/about-us/forums.cfm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0A7" w:rsidRDefault="00EE5BC6">
    <w:pPr>
      <w:pStyle w:val="Header"/>
    </w:pPr>
    <w:sdt>
      <w:sdtPr>
        <w:id w:val="-2052457693"/>
        <w:temporary/>
        <w:showingPlcHdr/>
      </w:sdtPr>
      <w:sdtEndPr/>
      <w:sdtContent>
        <w:r w:rsidR="00BB30A7">
          <w:t>[Type text]</w:t>
        </w:r>
      </w:sdtContent>
    </w:sdt>
    <w:r w:rsidR="00BB30A7">
      <w:ptab w:relativeTo="margin" w:alignment="center" w:leader="none"/>
    </w:r>
    <w:sdt>
      <w:sdtPr>
        <w:id w:val="-812174401"/>
        <w:temporary/>
        <w:showingPlcHdr/>
      </w:sdtPr>
      <w:sdtEndPr/>
      <w:sdtContent>
        <w:r w:rsidR="00BB30A7">
          <w:t>[Type text]</w:t>
        </w:r>
      </w:sdtContent>
    </w:sdt>
    <w:r w:rsidR="00BB30A7">
      <w:ptab w:relativeTo="margin" w:alignment="right" w:leader="none"/>
    </w:r>
    <w:sdt>
      <w:sdtPr>
        <w:id w:val="1772270257"/>
        <w:temporary/>
        <w:showingPlcHdr/>
      </w:sdtPr>
      <w:sdtEndPr/>
      <w:sdtContent>
        <w:r w:rsidR="00BB30A7">
          <w:t>[Type text]</w:t>
        </w:r>
      </w:sdtContent>
    </w:sdt>
  </w:p>
  <w:p w:rsidR="00BB30A7" w:rsidRDefault="00BB3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0A7" w:rsidRDefault="00BB30A7" w:rsidP="00B44B27">
    <w:pPr>
      <w:jc w:val="left"/>
    </w:pPr>
    <w:r>
      <w:t>Commercial Managers Forum – March 2020</w:t>
    </w:r>
  </w:p>
  <w:p w:rsidR="00BB30A7" w:rsidRDefault="00BB30A7" w:rsidP="006678BB">
    <w:pPr>
      <w:jc w:val="left"/>
      <w:rPr>
        <w:rFonts w:asciiTheme="minorHAnsi" w:hAnsiTheme="minorHAnsi"/>
        <w:color w:val="330072"/>
        <w:sz w:val="44"/>
        <w:szCs w:val="44"/>
      </w:rPr>
    </w:pPr>
  </w:p>
  <w:p w:rsidR="00BB30A7" w:rsidRPr="007C226D" w:rsidRDefault="00BB30A7" w:rsidP="006678BB">
    <w:pPr>
      <w:jc w:val="left"/>
      <w:rPr>
        <w:rFonts w:asciiTheme="minorHAnsi" w:hAnsiTheme="minorHAnsi"/>
        <w:color w:val="330072"/>
        <w:sz w:val="44"/>
        <w:szCs w:val="44"/>
      </w:rPr>
    </w:pPr>
    <w:r>
      <w:rPr>
        <w:rFonts w:asciiTheme="minorHAnsi" w:hAnsiTheme="minorHAnsi"/>
        <w:color w:val="330072"/>
        <w:sz w:val="44"/>
        <w:szCs w:val="44"/>
      </w:rPr>
      <w:t xml:space="preserve">Terms of Reference </w:t>
    </w:r>
  </w:p>
  <w:p w:rsidR="00BB30A7" w:rsidRPr="007C226D" w:rsidRDefault="00BB30A7" w:rsidP="0058489C">
    <w:pPr>
      <w:pStyle w:val="Header"/>
      <w:pBdr>
        <w:bottom w:val="nil"/>
      </w:pBdr>
      <w:tabs>
        <w:tab w:val="clear" w:pos="4513"/>
        <w:tab w:val="clear" w:pos="9026"/>
        <w:tab w:val="center" w:pos="5103"/>
        <w:tab w:val="right" w:pos="10065"/>
      </w:tabs>
      <w:jc w:val="left"/>
      <w:rPr>
        <w:color w:val="3300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A"/>
    <w:multiLevelType w:val="multilevel"/>
    <w:tmpl w:val="894EE87C"/>
    <w:lvl w:ilvl="0">
      <w:numFmt w:val="decimal"/>
      <w:pStyle w:val="Lis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C43C1"/>
    <w:multiLevelType w:val="hybridMultilevel"/>
    <w:tmpl w:val="2F842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B1437"/>
    <w:multiLevelType w:val="hybridMultilevel"/>
    <w:tmpl w:val="D10AF3A8"/>
    <w:lvl w:ilvl="0" w:tplc="F984C6DE">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5B81AEC"/>
    <w:multiLevelType w:val="hybridMultilevel"/>
    <w:tmpl w:val="04F4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D3007"/>
    <w:multiLevelType w:val="hybridMultilevel"/>
    <w:tmpl w:val="7652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632DE"/>
    <w:multiLevelType w:val="hybridMultilevel"/>
    <w:tmpl w:val="75DCE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C02A61"/>
    <w:multiLevelType w:val="multilevel"/>
    <w:tmpl w:val="EBBC1A9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8" w15:restartNumberingAfterBreak="0">
    <w:nsid w:val="0E4802BE"/>
    <w:multiLevelType w:val="hybridMultilevel"/>
    <w:tmpl w:val="AD949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1F62DC4"/>
    <w:multiLevelType w:val="hybridMultilevel"/>
    <w:tmpl w:val="590A4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6432B4A"/>
    <w:multiLevelType w:val="hybridMultilevel"/>
    <w:tmpl w:val="BF38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31B3C"/>
    <w:multiLevelType w:val="hybridMultilevel"/>
    <w:tmpl w:val="10944A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17B1B0A"/>
    <w:multiLevelType w:val="hybridMultilevel"/>
    <w:tmpl w:val="048C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E38A7"/>
    <w:multiLevelType w:val="hybridMultilevel"/>
    <w:tmpl w:val="0D1AF62E"/>
    <w:lvl w:ilvl="0" w:tplc="D96A62F8">
      <w:start w:val="1"/>
      <w:numFmt w:val="decimal"/>
      <w:pStyle w:val="Sectionheading"/>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24F6488"/>
    <w:multiLevelType w:val="hybridMultilevel"/>
    <w:tmpl w:val="208A992C"/>
    <w:lvl w:ilvl="0" w:tplc="917E236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E27E8"/>
    <w:multiLevelType w:val="hybridMultilevel"/>
    <w:tmpl w:val="5F92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77457E"/>
    <w:multiLevelType w:val="hybridMultilevel"/>
    <w:tmpl w:val="AFA86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631928"/>
    <w:multiLevelType w:val="hybridMultilevel"/>
    <w:tmpl w:val="8BC22DD2"/>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333870"/>
    <w:multiLevelType w:val="hybridMultilevel"/>
    <w:tmpl w:val="54B07C58"/>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66A5B56"/>
    <w:multiLevelType w:val="hybridMultilevel"/>
    <w:tmpl w:val="6FB02E56"/>
    <w:lvl w:ilvl="0" w:tplc="917E236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471BFA"/>
    <w:multiLevelType w:val="hybridMultilevel"/>
    <w:tmpl w:val="F1C0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F66F6E"/>
    <w:multiLevelType w:val="hybridMultilevel"/>
    <w:tmpl w:val="2AD0B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D3E3CDB"/>
    <w:multiLevelType w:val="hybridMultilevel"/>
    <w:tmpl w:val="F496A482"/>
    <w:lvl w:ilvl="0" w:tplc="08090013">
      <w:start w:val="1"/>
      <w:numFmt w:val="upperRoman"/>
      <w:lvlText w:val="%1."/>
      <w:lvlJc w:val="right"/>
      <w:pPr>
        <w:ind w:left="1440" w:hanging="360"/>
      </w:p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1482E31"/>
    <w:multiLevelType w:val="hybridMultilevel"/>
    <w:tmpl w:val="564ACE16"/>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13">
      <w:start w:val="1"/>
      <w:numFmt w:val="upperRoman"/>
      <w:lvlText w:val="%4."/>
      <w:lvlJc w:val="righ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5935D8"/>
    <w:multiLevelType w:val="hybridMultilevel"/>
    <w:tmpl w:val="B83C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F0AEC"/>
    <w:multiLevelType w:val="hybridMultilevel"/>
    <w:tmpl w:val="4102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257F38"/>
    <w:multiLevelType w:val="hybridMultilevel"/>
    <w:tmpl w:val="AFE0B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9FD31EE"/>
    <w:multiLevelType w:val="hybridMultilevel"/>
    <w:tmpl w:val="54B07C58"/>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D47502B"/>
    <w:multiLevelType w:val="hybridMultilevel"/>
    <w:tmpl w:val="E24280E8"/>
    <w:lvl w:ilvl="0" w:tplc="3B4ACED2">
      <w:start w:val="1"/>
      <w:numFmt w:val="lowerLetter"/>
      <w:pStyle w:val="List0"/>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F8E3251"/>
    <w:multiLevelType w:val="hybridMultilevel"/>
    <w:tmpl w:val="DC506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0B1F88"/>
    <w:multiLevelType w:val="hybridMultilevel"/>
    <w:tmpl w:val="66E24388"/>
    <w:lvl w:ilvl="0" w:tplc="0E1EFBDA">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1036ED"/>
    <w:multiLevelType w:val="hybridMultilevel"/>
    <w:tmpl w:val="C0007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C62C2F"/>
    <w:multiLevelType w:val="hybridMultilevel"/>
    <w:tmpl w:val="2376AD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3D0371"/>
    <w:multiLevelType w:val="hybridMultilevel"/>
    <w:tmpl w:val="4EA6AAB4"/>
    <w:lvl w:ilvl="0" w:tplc="82D00EC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8B666C0"/>
    <w:multiLevelType w:val="hybridMultilevel"/>
    <w:tmpl w:val="54B07C58"/>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8D62787"/>
    <w:multiLevelType w:val="hybridMultilevel"/>
    <w:tmpl w:val="2376AD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25043"/>
    <w:multiLevelType w:val="hybridMultilevel"/>
    <w:tmpl w:val="414692E2"/>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5A1712"/>
    <w:multiLevelType w:val="hybridMultilevel"/>
    <w:tmpl w:val="95EE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00F8B"/>
    <w:multiLevelType w:val="hybridMultilevel"/>
    <w:tmpl w:val="0C402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7A35D9"/>
    <w:multiLevelType w:val="hybridMultilevel"/>
    <w:tmpl w:val="414692E2"/>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903282"/>
    <w:multiLevelType w:val="hybridMultilevel"/>
    <w:tmpl w:val="2376AD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DB6AEF"/>
    <w:multiLevelType w:val="hybridMultilevel"/>
    <w:tmpl w:val="3F4E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A64565"/>
    <w:multiLevelType w:val="hybridMultilevel"/>
    <w:tmpl w:val="07F2217A"/>
    <w:lvl w:ilvl="0" w:tplc="08090001">
      <w:start w:val="1"/>
      <w:numFmt w:val="bullet"/>
      <w:lvlText w:val=""/>
      <w:lvlJc w:val="left"/>
      <w:pPr>
        <w:ind w:left="720" w:hanging="360"/>
      </w:pPr>
      <w:rPr>
        <w:rFonts w:ascii="Symbol" w:hAnsi="Symbol" w:hint="default"/>
      </w:rPr>
    </w:lvl>
    <w:lvl w:ilvl="1" w:tplc="08090013">
      <w:start w:val="1"/>
      <w:numFmt w:val="upp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29"/>
  </w:num>
  <w:num w:numId="4">
    <w:abstractNumId w:val="2"/>
  </w:num>
  <w:num w:numId="5">
    <w:abstractNumId w:val="20"/>
  </w:num>
  <w:num w:numId="6">
    <w:abstractNumId w:val="10"/>
  </w:num>
  <w:num w:numId="7">
    <w:abstractNumId w:val="41"/>
  </w:num>
  <w:num w:numId="8">
    <w:abstractNumId w:val="0"/>
  </w:num>
  <w:num w:numId="9">
    <w:abstractNumId w:val="30"/>
  </w:num>
  <w:num w:numId="10">
    <w:abstractNumId w:val="5"/>
  </w:num>
  <w:num w:numId="11">
    <w:abstractNumId w:val="33"/>
  </w:num>
  <w:num w:numId="12">
    <w:abstractNumId w:val="29"/>
  </w:num>
  <w:num w:numId="13">
    <w:abstractNumId w:val="2"/>
  </w:num>
  <w:num w:numId="14">
    <w:abstractNumId w:val="20"/>
  </w:num>
  <w:num w:numId="15">
    <w:abstractNumId w:val="5"/>
  </w:num>
  <w:num w:numId="16">
    <w:abstractNumId w:val="8"/>
  </w:num>
  <w:num w:numId="17">
    <w:abstractNumId w:val="24"/>
  </w:num>
  <w:num w:numId="18">
    <w:abstractNumId w:val="12"/>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27"/>
  </w:num>
  <w:num w:numId="21">
    <w:abstractNumId w:val="39"/>
  </w:num>
  <w:num w:numId="22">
    <w:abstractNumId w:val="3"/>
  </w:num>
  <w:num w:numId="23">
    <w:abstractNumId w:val="42"/>
  </w:num>
  <w:num w:numId="24">
    <w:abstractNumId w:val="17"/>
  </w:num>
  <w:num w:numId="25">
    <w:abstractNumId w:val="23"/>
  </w:num>
  <w:num w:numId="26">
    <w:abstractNumId w:val="22"/>
  </w:num>
  <w:num w:numId="27">
    <w:abstractNumId w:val="31"/>
  </w:num>
  <w:num w:numId="28">
    <w:abstractNumId w:val="4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4"/>
  </w:num>
  <w:num w:numId="32">
    <w:abstractNumId w:val="35"/>
  </w:num>
  <w:num w:numId="33">
    <w:abstractNumId w:val="32"/>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5"/>
  </w:num>
  <w:num w:numId="38">
    <w:abstractNumId w:val="38"/>
  </w:num>
  <w:num w:numId="39">
    <w:abstractNumId w:val="16"/>
  </w:num>
  <w:num w:numId="40">
    <w:abstractNumId w:val="37"/>
  </w:num>
  <w:num w:numId="41">
    <w:abstractNumId w:val="14"/>
  </w:num>
  <w:num w:numId="42">
    <w:abstractNumId w:val="19"/>
  </w:num>
  <w:num w:numId="43">
    <w:abstractNumId w:val="2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9"/>
  </w:num>
  <w:num w:numId="47">
    <w:abstractNumId w:val="14"/>
  </w:num>
  <w:num w:numId="48">
    <w:abstractNumId w:val="6"/>
  </w:num>
  <w:num w:numId="4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38"/>
    <w:rsid w:val="00005E7B"/>
    <w:rsid w:val="000068E6"/>
    <w:rsid w:val="00006DD7"/>
    <w:rsid w:val="00032273"/>
    <w:rsid w:val="00033BC6"/>
    <w:rsid w:val="000371CF"/>
    <w:rsid w:val="00050FC8"/>
    <w:rsid w:val="00056AD2"/>
    <w:rsid w:val="00062075"/>
    <w:rsid w:val="00065C49"/>
    <w:rsid w:val="000668CA"/>
    <w:rsid w:val="00076FFD"/>
    <w:rsid w:val="000817D0"/>
    <w:rsid w:val="00082EDE"/>
    <w:rsid w:val="00083138"/>
    <w:rsid w:val="000A74F2"/>
    <w:rsid w:val="000B4DA1"/>
    <w:rsid w:val="000C05A8"/>
    <w:rsid w:val="000C2C77"/>
    <w:rsid w:val="000C7E06"/>
    <w:rsid w:val="000F69DC"/>
    <w:rsid w:val="000F7232"/>
    <w:rsid w:val="001122F7"/>
    <w:rsid w:val="0011348D"/>
    <w:rsid w:val="00122B74"/>
    <w:rsid w:val="00126D12"/>
    <w:rsid w:val="001324E0"/>
    <w:rsid w:val="00133C3E"/>
    <w:rsid w:val="001373E4"/>
    <w:rsid w:val="00140D86"/>
    <w:rsid w:val="001424E7"/>
    <w:rsid w:val="00143A05"/>
    <w:rsid w:val="001555D3"/>
    <w:rsid w:val="00157A0A"/>
    <w:rsid w:val="001668C1"/>
    <w:rsid w:val="00170C6F"/>
    <w:rsid w:val="00170C98"/>
    <w:rsid w:val="0017537C"/>
    <w:rsid w:val="00181F80"/>
    <w:rsid w:val="00183DC5"/>
    <w:rsid w:val="001865E8"/>
    <w:rsid w:val="00186B4C"/>
    <w:rsid w:val="001957CF"/>
    <w:rsid w:val="001A133D"/>
    <w:rsid w:val="001A1ABB"/>
    <w:rsid w:val="001A713C"/>
    <w:rsid w:val="001A7AA9"/>
    <w:rsid w:val="001B7A09"/>
    <w:rsid w:val="001C0682"/>
    <w:rsid w:val="001D0629"/>
    <w:rsid w:val="001D166F"/>
    <w:rsid w:val="001E0343"/>
    <w:rsid w:val="001E1BDA"/>
    <w:rsid w:val="001E5CD5"/>
    <w:rsid w:val="001F0656"/>
    <w:rsid w:val="001F6059"/>
    <w:rsid w:val="0020524C"/>
    <w:rsid w:val="00211B76"/>
    <w:rsid w:val="00216A9D"/>
    <w:rsid w:val="0022184D"/>
    <w:rsid w:val="002220B6"/>
    <w:rsid w:val="00237324"/>
    <w:rsid w:val="00251C0B"/>
    <w:rsid w:val="00264FA1"/>
    <w:rsid w:val="00266B32"/>
    <w:rsid w:val="002719EE"/>
    <w:rsid w:val="0027235B"/>
    <w:rsid w:val="00281693"/>
    <w:rsid w:val="00293C74"/>
    <w:rsid w:val="00296275"/>
    <w:rsid w:val="002A0515"/>
    <w:rsid w:val="002B1FEE"/>
    <w:rsid w:val="002B552E"/>
    <w:rsid w:val="002C041A"/>
    <w:rsid w:val="002C3297"/>
    <w:rsid w:val="003026C7"/>
    <w:rsid w:val="0031451C"/>
    <w:rsid w:val="0032150B"/>
    <w:rsid w:val="003227DC"/>
    <w:rsid w:val="0033321E"/>
    <w:rsid w:val="00337B81"/>
    <w:rsid w:val="003413B3"/>
    <w:rsid w:val="00352EA5"/>
    <w:rsid w:val="00365900"/>
    <w:rsid w:val="00366622"/>
    <w:rsid w:val="00373B95"/>
    <w:rsid w:val="00390E90"/>
    <w:rsid w:val="00396841"/>
    <w:rsid w:val="00397C92"/>
    <w:rsid w:val="003A70F4"/>
    <w:rsid w:val="003B41BE"/>
    <w:rsid w:val="003C07D2"/>
    <w:rsid w:val="003C3681"/>
    <w:rsid w:val="003D5E8B"/>
    <w:rsid w:val="003E544D"/>
    <w:rsid w:val="003E6AAD"/>
    <w:rsid w:val="00411FFE"/>
    <w:rsid w:val="00417744"/>
    <w:rsid w:val="00420369"/>
    <w:rsid w:val="00434887"/>
    <w:rsid w:val="00434973"/>
    <w:rsid w:val="00435C80"/>
    <w:rsid w:val="00436A67"/>
    <w:rsid w:val="00441E96"/>
    <w:rsid w:val="0045074D"/>
    <w:rsid w:val="00451160"/>
    <w:rsid w:val="004531FA"/>
    <w:rsid w:val="00453494"/>
    <w:rsid w:val="00453B2E"/>
    <w:rsid w:val="0047462A"/>
    <w:rsid w:val="00474A0C"/>
    <w:rsid w:val="0048088D"/>
    <w:rsid w:val="0049060E"/>
    <w:rsid w:val="00497309"/>
    <w:rsid w:val="004B3FAA"/>
    <w:rsid w:val="004B42EA"/>
    <w:rsid w:val="004C5BCF"/>
    <w:rsid w:val="004C69EE"/>
    <w:rsid w:val="004D53A4"/>
    <w:rsid w:val="004F4321"/>
    <w:rsid w:val="00501BD2"/>
    <w:rsid w:val="00504334"/>
    <w:rsid w:val="00510971"/>
    <w:rsid w:val="0052547B"/>
    <w:rsid w:val="005269F7"/>
    <w:rsid w:val="00531D13"/>
    <w:rsid w:val="00531E50"/>
    <w:rsid w:val="0053269D"/>
    <w:rsid w:val="0053576D"/>
    <w:rsid w:val="00542A94"/>
    <w:rsid w:val="005435F4"/>
    <w:rsid w:val="00546BFE"/>
    <w:rsid w:val="005545BC"/>
    <w:rsid w:val="00562B53"/>
    <w:rsid w:val="00573DB9"/>
    <w:rsid w:val="0057523B"/>
    <w:rsid w:val="00576664"/>
    <w:rsid w:val="00581B87"/>
    <w:rsid w:val="0058489C"/>
    <w:rsid w:val="005A3EAF"/>
    <w:rsid w:val="005B155F"/>
    <w:rsid w:val="005B19D1"/>
    <w:rsid w:val="005C170A"/>
    <w:rsid w:val="005C1CED"/>
    <w:rsid w:val="005C6D1E"/>
    <w:rsid w:val="005D050D"/>
    <w:rsid w:val="005D0975"/>
    <w:rsid w:val="005D0DC7"/>
    <w:rsid w:val="005E05BB"/>
    <w:rsid w:val="005E6FAB"/>
    <w:rsid w:val="005F0B94"/>
    <w:rsid w:val="005F1A21"/>
    <w:rsid w:val="005F5241"/>
    <w:rsid w:val="005F5E6D"/>
    <w:rsid w:val="005F5F64"/>
    <w:rsid w:val="00611C2D"/>
    <w:rsid w:val="00613DF5"/>
    <w:rsid w:val="00614246"/>
    <w:rsid w:val="00614E48"/>
    <w:rsid w:val="00616840"/>
    <w:rsid w:val="00620A3D"/>
    <w:rsid w:val="0063323F"/>
    <w:rsid w:val="006454F2"/>
    <w:rsid w:val="0065474D"/>
    <w:rsid w:val="00655B82"/>
    <w:rsid w:val="006628C8"/>
    <w:rsid w:val="0066593E"/>
    <w:rsid w:val="00667103"/>
    <w:rsid w:val="006678BB"/>
    <w:rsid w:val="00671617"/>
    <w:rsid w:val="006803FD"/>
    <w:rsid w:val="00683472"/>
    <w:rsid w:val="006867C9"/>
    <w:rsid w:val="00691BDF"/>
    <w:rsid w:val="006965E0"/>
    <w:rsid w:val="006A2655"/>
    <w:rsid w:val="006B7086"/>
    <w:rsid w:val="006C5C13"/>
    <w:rsid w:val="006C74B8"/>
    <w:rsid w:val="006E0F5B"/>
    <w:rsid w:val="006F023E"/>
    <w:rsid w:val="006F082A"/>
    <w:rsid w:val="006F181A"/>
    <w:rsid w:val="007039DC"/>
    <w:rsid w:val="007116C9"/>
    <w:rsid w:val="007140E7"/>
    <w:rsid w:val="00723316"/>
    <w:rsid w:val="007273CB"/>
    <w:rsid w:val="00740F7B"/>
    <w:rsid w:val="0075397A"/>
    <w:rsid w:val="00766559"/>
    <w:rsid w:val="00770DA9"/>
    <w:rsid w:val="0077383C"/>
    <w:rsid w:val="00791217"/>
    <w:rsid w:val="00794DDA"/>
    <w:rsid w:val="007952E8"/>
    <w:rsid w:val="0079599D"/>
    <w:rsid w:val="00797206"/>
    <w:rsid w:val="007A371A"/>
    <w:rsid w:val="007B3523"/>
    <w:rsid w:val="007C20F7"/>
    <w:rsid w:val="007C226D"/>
    <w:rsid w:val="007C6E6E"/>
    <w:rsid w:val="007D52C7"/>
    <w:rsid w:val="007D5B96"/>
    <w:rsid w:val="007E0DFC"/>
    <w:rsid w:val="007E4A3D"/>
    <w:rsid w:val="007F0C32"/>
    <w:rsid w:val="007F136F"/>
    <w:rsid w:val="008105AB"/>
    <w:rsid w:val="00817B0E"/>
    <w:rsid w:val="00821E90"/>
    <w:rsid w:val="00830315"/>
    <w:rsid w:val="00843594"/>
    <w:rsid w:val="00847187"/>
    <w:rsid w:val="00855E5E"/>
    <w:rsid w:val="008578DB"/>
    <w:rsid w:val="00861AB9"/>
    <w:rsid w:val="008710A7"/>
    <w:rsid w:val="00872AC7"/>
    <w:rsid w:val="00873C23"/>
    <w:rsid w:val="00876268"/>
    <w:rsid w:val="00880127"/>
    <w:rsid w:val="008824B7"/>
    <w:rsid w:val="0088319C"/>
    <w:rsid w:val="00897A57"/>
    <w:rsid w:val="00897FFC"/>
    <w:rsid w:val="008A778B"/>
    <w:rsid w:val="008B2077"/>
    <w:rsid w:val="008B4332"/>
    <w:rsid w:val="008C4D54"/>
    <w:rsid w:val="008C67C5"/>
    <w:rsid w:val="008D0333"/>
    <w:rsid w:val="008D0858"/>
    <w:rsid w:val="008E103D"/>
    <w:rsid w:val="008E4267"/>
    <w:rsid w:val="008E4529"/>
    <w:rsid w:val="008E61CE"/>
    <w:rsid w:val="008F540F"/>
    <w:rsid w:val="008F56B7"/>
    <w:rsid w:val="008F7F72"/>
    <w:rsid w:val="0090163F"/>
    <w:rsid w:val="0090271A"/>
    <w:rsid w:val="00904440"/>
    <w:rsid w:val="00905229"/>
    <w:rsid w:val="009068E7"/>
    <w:rsid w:val="009156C5"/>
    <w:rsid w:val="009166E1"/>
    <w:rsid w:val="00917909"/>
    <w:rsid w:val="0092051A"/>
    <w:rsid w:val="00920E4B"/>
    <w:rsid w:val="00924A96"/>
    <w:rsid w:val="009339B6"/>
    <w:rsid w:val="00946138"/>
    <w:rsid w:val="00953FF2"/>
    <w:rsid w:val="00956EEE"/>
    <w:rsid w:val="00964DBF"/>
    <w:rsid w:val="009753FA"/>
    <w:rsid w:val="00976D11"/>
    <w:rsid w:val="00976FE0"/>
    <w:rsid w:val="00985886"/>
    <w:rsid w:val="00985C0F"/>
    <w:rsid w:val="00991FF2"/>
    <w:rsid w:val="009A39BC"/>
    <w:rsid w:val="009B1620"/>
    <w:rsid w:val="009B5CBF"/>
    <w:rsid w:val="009B5F39"/>
    <w:rsid w:val="009C204A"/>
    <w:rsid w:val="009D1D34"/>
    <w:rsid w:val="009E4198"/>
    <w:rsid w:val="009E7961"/>
    <w:rsid w:val="00A3608D"/>
    <w:rsid w:val="00A36325"/>
    <w:rsid w:val="00A36E6C"/>
    <w:rsid w:val="00A42D8E"/>
    <w:rsid w:val="00A44947"/>
    <w:rsid w:val="00A51717"/>
    <w:rsid w:val="00A55703"/>
    <w:rsid w:val="00A55AA8"/>
    <w:rsid w:val="00A65B5F"/>
    <w:rsid w:val="00A673A3"/>
    <w:rsid w:val="00A713B8"/>
    <w:rsid w:val="00A7206B"/>
    <w:rsid w:val="00A75F52"/>
    <w:rsid w:val="00A77685"/>
    <w:rsid w:val="00A815F8"/>
    <w:rsid w:val="00A818D5"/>
    <w:rsid w:val="00A84302"/>
    <w:rsid w:val="00AA1800"/>
    <w:rsid w:val="00AA24B8"/>
    <w:rsid w:val="00AA3F2C"/>
    <w:rsid w:val="00AA5BBD"/>
    <w:rsid w:val="00AB1BD3"/>
    <w:rsid w:val="00AB2F6E"/>
    <w:rsid w:val="00AB2F79"/>
    <w:rsid w:val="00AB3E26"/>
    <w:rsid w:val="00AB432E"/>
    <w:rsid w:val="00AC23F0"/>
    <w:rsid w:val="00AC76E7"/>
    <w:rsid w:val="00AE084D"/>
    <w:rsid w:val="00AE147E"/>
    <w:rsid w:val="00AE23AB"/>
    <w:rsid w:val="00AE5D8A"/>
    <w:rsid w:val="00AE5FC7"/>
    <w:rsid w:val="00AF08DE"/>
    <w:rsid w:val="00AF78C5"/>
    <w:rsid w:val="00B003EA"/>
    <w:rsid w:val="00B06107"/>
    <w:rsid w:val="00B07D23"/>
    <w:rsid w:val="00B1047E"/>
    <w:rsid w:val="00B3040F"/>
    <w:rsid w:val="00B31402"/>
    <w:rsid w:val="00B315BE"/>
    <w:rsid w:val="00B371FA"/>
    <w:rsid w:val="00B431A1"/>
    <w:rsid w:val="00B43617"/>
    <w:rsid w:val="00B44B27"/>
    <w:rsid w:val="00B51D4A"/>
    <w:rsid w:val="00B60DBF"/>
    <w:rsid w:val="00B620E9"/>
    <w:rsid w:val="00B73B11"/>
    <w:rsid w:val="00B750AD"/>
    <w:rsid w:val="00B76701"/>
    <w:rsid w:val="00B86BC1"/>
    <w:rsid w:val="00B87A9D"/>
    <w:rsid w:val="00B94FBD"/>
    <w:rsid w:val="00B97248"/>
    <w:rsid w:val="00BA1AD2"/>
    <w:rsid w:val="00BB30A7"/>
    <w:rsid w:val="00BD2869"/>
    <w:rsid w:val="00BD345E"/>
    <w:rsid w:val="00BD5A04"/>
    <w:rsid w:val="00BF111C"/>
    <w:rsid w:val="00BF4CBB"/>
    <w:rsid w:val="00BF5C8F"/>
    <w:rsid w:val="00BF725C"/>
    <w:rsid w:val="00C01311"/>
    <w:rsid w:val="00C10469"/>
    <w:rsid w:val="00C1182A"/>
    <w:rsid w:val="00C14BFA"/>
    <w:rsid w:val="00C15B75"/>
    <w:rsid w:val="00C225B1"/>
    <w:rsid w:val="00C30EBC"/>
    <w:rsid w:val="00C33F44"/>
    <w:rsid w:val="00C358B4"/>
    <w:rsid w:val="00C403AB"/>
    <w:rsid w:val="00C42D42"/>
    <w:rsid w:val="00C448F0"/>
    <w:rsid w:val="00C5356D"/>
    <w:rsid w:val="00C75F04"/>
    <w:rsid w:val="00C77184"/>
    <w:rsid w:val="00C90D63"/>
    <w:rsid w:val="00C97992"/>
    <w:rsid w:val="00CA3E48"/>
    <w:rsid w:val="00CA6820"/>
    <w:rsid w:val="00CA6E53"/>
    <w:rsid w:val="00CB1DC4"/>
    <w:rsid w:val="00CB34A7"/>
    <w:rsid w:val="00CB3CC2"/>
    <w:rsid w:val="00CC1A09"/>
    <w:rsid w:val="00CC4255"/>
    <w:rsid w:val="00CC64DC"/>
    <w:rsid w:val="00CC6534"/>
    <w:rsid w:val="00CC7339"/>
    <w:rsid w:val="00CD3F35"/>
    <w:rsid w:val="00CD46BE"/>
    <w:rsid w:val="00CD6B5B"/>
    <w:rsid w:val="00CF0B4C"/>
    <w:rsid w:val="00CF1D8A"/>
    <w:rsid w:val="00CF6156"/>
    <w:rsid w:val="00CF7378"/>
    <w:rsid w:val="00D00775"/>
    <w:rsid w:val="00D12AF0"/>
    <w:rsid w:val="00D158F8"/>
    <w:rsid w:val="00D231CF"/>
    <w:rsid w:val="00D2427F"/>
    <w:rsid w:val="00D25C44"/>
    <w:rsid w:val="00D30FEF"/>
    <w:rsid w:val="00D42A52"/>
    <w:rsid w:val="00D436E6"/>
    <w:rsid w:val="00D44431"/>
    <w:rsid w:val="00D4598C"/>
    <w:rsid w:val="00D46F8E"/>
    <w:rsid w:val="00D47C9F"/>
    <w:rsid w:val="00D50C5A"/>
    <w:rsid w:val="00D57311"/>
    <w:rsid w:val="00D60043"/>
    <w:rsid w:val="00D62F71"/>
    <w:rsid w:val="00D63BA8"/>
    <w:rsid w:val="00D63F6A"/>
    <w:rsid w:val="00D77C5A"/>
    <w:rsid w:val="00D95D9C"/>
    <w:rsid w:val="00D96CFF"/>
    <w:rsid w:val="00DA262B"/>
    <w:rsid w:val="00DA5DC5"/>
    <w:rsid w:val="00DC5D87"/>
    <w:rsid w:val="00DD3ADB"/>
    <w:rsid w:val="00DE4ABA"/>
    <w:rsid w:val="00DE6F6E"/>
    <w:rsid w:val="00DF1740"/>
    <w:rsid w:val="00DF1C06"/>
    <w:rsid w:val="00DF2EAC"/>
    <w:rsid w:val="00DF6907"/>
    <w:rsid w:val="00E154D3"/>
    <w:rsid w:val="00E35E77"/>
    <w:rsid w:val="00E414AB"/>
    <w:rsid w:val="00E4541E"/>
    <w:rsid w:val="00E556A4"/>
    <w:rsid w:val="00E64D83"/>
    <w:rsid w:val="00E675A3"/>
    <w:rsid w:val="00E71C92"/>
    <w:rsid w:val="00E80E69"/>
    <w:rsid w:val="00E81215"/>
    <w:rsid w:val="00E92E41"/>
    <w:rsid w:val="00E95470"/>
    <w:rsid w:val="00EB1336"/>
    <w:rsid w:val="00EB50B4"/>
    <w:rsid w:val="00EC126F"/>
    <w:rsid w:val="00EC5BC5"/>
    <w:rsid w:val="00ED2E87"/>
    <w:rsid w:val="00ED3213"/>
    <w:rsid w:val="00ED38DE"/>
    <w:rsid w:val="00EE219B"/>
    <w:rsid w:val="00EE3FF6"/>
    <w:rsid w:val="00EE4F88"/>
    <w:rsid w:val="00EE58B0"/>
    <w:rsid w:val="00EE5BC6"/>
    <w:rsid w:val="00EE6153"/>
    <w:rsid w:val="00EF4240"/>
    <w:rsid w:val="00EF7E8C"/>
    <w:rsid w:val="00F05CF5"/>
    <w:rsid w:val="00F130FC"/>
    <w:rsid w:val="00F16334"/>
    <w:rsid w:val="00F253D7"/>
    <w:rsid w:val="00F26938"/>
    <w:rsid w:val="00F32F16"/>
    <w:rsid w:val="00F56CA2"/>
    <w:rsid w:val="00F66591"/>
    <w:rsid w:val="00F71876"/>
    <w:rsid w:val="00F77AED"/>
    <w:rsid w:val="00F857B5"/>
    <w:rsid w:val="00F912BD"/>
    <w:rsid w:val="00F92850"/>
    <w:rsid w:val="00F93513"/>
    <w:rsid w:val="00FA58F5"/>
    <w:rsid w:val="00FA7FE3"/>
    <w:rsid w:val="00FB48CE"/>
    <w:rsid w:val="00FC2491"/>
    <w:rsid w:val="00FC3528"/>
    <w:rsid w:val="00FD0847"/>
    <w:rsid w:val="00FD6A3D"/>
    <w:rsid w:val="00FD7254"/>
    <w:rsid w:val="00FE160B"/>
    <w:rsid w:val="00FE3483"/>
    <w:rsid w:val="00FE3A52"/>
    <w:rsid w:val="00FE50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F6A354"/>
  <w15:docId w15:val="{A47EEE85-4863-4FE2-8DEE-FD841BAB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6D12"/>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483"/>
    <w:pPr>
      <w:ind w:left="720"/>
      <w:jc w:val="left"/>
    </w:pPr>
    <w:rPr>
      <w:rFonts w:eastAsia="Times New Roman"/>
      <w:lang w:eastAsia="en-GB"/>
    </w:rPr>
  </w:style>
  <w:style w:type="paragraph" w:styleId="Header">
    <w:name w:val="header"/>
    <w:basedOn w:val="Normal"/>
    <w:link w:val="HeaderChar"/>
    <w:uiPriority w:val="99"/>
    <w:unhideWhenUsed/>
    <w:rsid w:val="00FE3483"/>
    <w:pPr>
      <w:tabs>
        <w:tab w:val="center" w:pos="4513"/>
        <w:tab w:val="right" w:pos="9026"/>
      </w:tabs>
    </w:pPr>
  </w:style>
  <w:style w:type="character" w:customStyle="1" w:styleId="HeaderChar">
    <w:name w:val="Header Char"/>
    <w:basedOn w:val="DefaultParagraphFont"/>
    <w:link w:val="Header"/>
    <w:uiPriority w:val="99"/>
    <w:rsid w:val="00FE3483"/>
  </w:style>
  <w:style w:type="paragraph" w:styleId="Footer">
    <w:name w:val="footer"/>
    <w:basedOn w:val="Normal"/>
    <w:link w:val="FooterChar"/>
    <w:uiPriority w:val="99"/>
    <w:unhideWhenUsed/>
    <w:rsid w:val="00FE3483"/>
    <w:pPr>
      <w:tabs>
        <w:tab w:val="center" w:pos="4513"/>
        <w:tab w:val="right" w:pos="9026"/>
      </w:tabs>
    </w:pPr>
  </w:style>
  <w:style w:type="character" w:customStyle="1" w:styleId="FooterChar">
    <w:name w:val="Footer Char"/>
    <w:basedOn w:val="DefaultParagraphFont"/>
    <w:link w:val="Footer"/>
    <w:uiPriority w:val="99"/>
    <w:rsid w:val="00FE3483"/>
  </w:style>
  <w:style w:type="paragraph" w:customStyle="1" w:styleId="para1">
    <w:name w:val="para1"/>
    <w:basedOn w:val="Normal"/>
    <w:rsid w:val="00FE3483"/>
    <w:pPr>
      <w:suppressAutoHyphens/>
      <w:overflowPunct w:val="0"/>
      <w:autoSpaceDE w:val="0"/>
      <w:autoSpaceDN w:val="0"/>
      <w:adjustRightInd w:val="0"/>
      <w:ind w:firstLine="288"/>
      <w:jc w:val="both"/>
      <w:textAlignment w:val="baseline"/>
    </w:pPr>
    <w:rPr>
      <w:rFonts w:ascii="Times New Roman" w:eastAsia="Times New Roman" w:hAnsi="Times New Roman"/>
      <w:sz w:val="20"/>
      <w:szCs w:val="20"/>
    </w:rPr>
  </w:style>
  <w:style w:type="paragraph" w:customStyle="1" w:styleId="para">
    <w:name w:val="para"/>
    <w:basedOn w:val="Normal"/>
    <w:next w:val="para1"/>
    <w:rsid w:val="00FE3483"/>
    <w:pPr>
      <w:suppressAutoHyphens/>
      <w:overflowPunct w:val="0"/>
      <w:autoSpaceDE w:val="0"/>
      <w:autoSpaceDN w:val="0"/>
      <w:adjustRightInd w:val="0"/>
      <w:jc w:val="both"/>
      <w:textAlignment w:val="baseline"/>
    </w:pPr>
    <w:rPr>
      <w:rFonts w:ascii="Times New Roman" w:eastAsia="Times New Roman" w:hAnsi="Times New Roman"/>
      <w:sz w:val="20"/>
      <w:szCs w:val="20"/>
    </w:rPr>
  </w:style>
  <w:style w:type="table" w:styleId="TableGrid">
    <w:name w:val="Table Grid"/>
    <w:basedOn w:val="TableNormal"/>
    <w:uiPriority w:val="59"/>
    <w:rsid w:val="00FE348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3483"/>
    <w:rPr>
      <w:color w:val="0000FF"/>
      <w:u w:val="single"/>
    </w:rPr>
  </w:style>
  <w:style w:type="paragraph" w:styleId="BalloonText">
    <w:name w:val="Balloon Text"/>
    <w:basedOn w:val="Normal"/>
    <w:link w:val="BalloonTextChar"/>
    <w:uiPriority w:val="99"/>
    <w:semiHidden/>
    <w:unhideWhenUsed/>
    <w:rsid w:val="00FE3483"/>
    <w:rPr>
      <w:rFonts w:ascii="Tahoma" w:hAnsi="Tahoma" w:cs="Tahoma"/>
      <w:sz w:val="16"/>
      <w:szCs w:val="16"/>
    </w:rPr>
  </w:style>
  <w:style w:type="character" w:customStyle="1" w:styleId="BalloonTextChar">
    <w:name w:val="Balloon Text Char"/>
    <w:basedOn w:val="DefaultParagraphFont"/>
    <w:link w:val="BalloonText"/>
    <w:uiPriority w:val="99"/>
    <w:semiHidden/>
    <w:rsid w:val="00FE3483"/>
    <w:rPr>
      <w:rFonts w:ascii="Tahoma" w:hAnsi="Tahoma" w:cs="Tahoma"/>
      <w:sz w:val="16"/>
      <w:szCs w:val="16"/>
    </w:rPr>
  </w:style>
  <w:style w:type="paragraph" w:styleId="PlainText">
    <w:name w:val="Plain Text"/>
    <w:basedOn w:val="Normal"/>
    <w:link w:val="PlainTextChar"/>
    <w:uiPriority w:val="99"/>
    <w:semiHidden/>
    <w:unhideWhenUsed/>
    <w:rsid w:val="008B2077"/>
    <w:pPr>
      <w:jc w:val="left"/>
    </w:pPr>
    <w:rPr>
      <w:rFonts w:eastAsiaTheme="minorHAnsi" w:cstheme="minorBidi"/>
      <w:sz w:val="21"/>
      <w:szCs w:val="21"/>
    </w:rPr>
  </w:style>
  <w:style w:type="character" w:customStyle="1" w:styleId="PlainTextChar">
    <w:name w:val="Plain Text Char"/>
    <w:basedOn w:val="DefaultParagraphFont"/>
    <w:link w:val="PlainText"/>
    <w:uiPriority w:val="99"/>
    <w:semiHidden/>
    <w:rsid w:val="008B2077"/>
    <w:rPr>
      <w:rFonts w:eastAsiaTheme="minorHAnsi" w:cstheme="minorBidi"/>
      <w:sz w:val="21"/>
      <w:szCs w:val="21"/>
      <w:lang w:eastAsia="en-US"/>
    </w:rPr>
  </w:style>
  <w:style w:type="paragraph" w:styleId="NoSpacing">
    <w:name w:val="No Spacing"/>
    <w:link w:val="NoSpacingChar"/>
    <w:uiPriority w:val="1"/>
    <w:qFormat/>
    <w:rsid w:val="00C1182A"/>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C1182A"/>
    <w:rPr>
      <w:rFonts w:asciiTheme="minorHAnsi" w:eastAsiaTheme="minorHAnsi" w:hAnsiTheme="minorHAnsi" w:cstheme="minorBidi"/>
      <w:sz w:val="22"/>
      <w:szCs w:val="22"/>
      <w:lang w:eastAsia="en-US"/>
    </w:rPr>
  </w:style>
  <w:style w:type="paragraph" w:customStyle="1" w:styleId="List0">
    <w:name w:val="List 0"/>
    <w:basedOn w:val="Normal"/>
    <w:semiHidden/>
    <w:rsid w:val="00474A0C"/>
    <w:pPr>
      <w:numPr>
        <w:numId w:val="1"/>
      </w:numPr>
      <w:jc w:val="left"/>
    </w:pPr>
    <w:rPr>
      <w:rFonts w:ascii="Times New Roman" w:eastAsia="Times New Roman" w:hAnsi="Times New Roman"/>
      <w:sz w:val="20"/>
      <w:szCs w:val="20"/>
      <w:lang w:eastAsia="en-GB"/>
    </w:rPr>
  </w:style>
  <w:style w:type="paragraph" w:customStyle="1" w:styleId="List1">
    <w:name w:val="List 1"/>
    <w:basedOn w:val="Normal"/>
    <w:semiHidden/>
    <w:rsid w:val="00474A0C"/>
    <w:pPr>
      <w:numPr>
        <w:numId w:val="2"/>
      </w:numPr>
      <w:jc w:val="left"/>
    </w:pPr>
    <w:rPr>
      <w:rFonts w:ascii="Times New Roman" w:eastAsia="Times New Roman" w:hAnsi="Times New Roman"/>
      <w:sz w:val="20"/>
      <w:szCs w:val="20"/>
      <w:lang w:eastAsia="en-GB"/>
    </w:rPr>
  </w:style>
  <w:style w:type="paragraph" w:customStyle="1" w:styleId="Body1">
    <w:name w:val="Body 1"/>
    <w:basedOn w:val="Normal"/>
    <w:rsid w:val="002719EE"/>
    <w:pPr>
      <w:jc w:val="left"/>
    </w:pPr>
    <w:rPr>
      <w:rFonts w:ascii="Times New Roman" w:eastAsiaTheme="minorHAnsi" w:hAnsi="Times New Roman"/>
      <w:color w:val="000000"/>
      <w:sz w:val="24"/>
      <w:szCs w:val="24"/>
      <w:lang w:eastAsia="en-GB"/>
    </w:rPr>
  </w:style>
  <w:style w:type="paragraph" w:styleId="Subtitle">
    <w:name w:val="Subtitle"/>
    <w:basedOn w:val="Normal"/>
    <w:next w:val="Normal"/>
    <w:link w:val="SubtitleChar"/>
    <w:uiPriority w:val="11"/>
    <w:qFormat/>
    <w:rsid w:val="00FE3A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3A52"/>
    <w:rPr>
      <w:rFonts w:asciiTheme="majorHAnsi" w:eastAsiaTheme="majorEastAsia" w:hAnsiTheme="majorHAnsi" w:cstheme="majorBidi"/>
      <w:i/>
      <w:iCs/>
      <w:color w:val="4F81BD" w:themeColor="accent1"/>
      <w:spacing w:val="15"/>
      <w:sz w:val="24"/>
      <w:szCs w:val="24"/>
      <w:lang w:eastAsia="en-US"/>
    </w:rPr>
  </w:style>
  <w:style w:type="paragraph" w:customStyle="1" w:styleId="Heading">
    <w:name w:val="Heading"/>
    <w:next w:val="Body"/>
    <w:rsid w:val="00BF725C"/>
    <w:pPr>
      <w:keepNext/>
      <w:keepLines/>
      <w:pBdr>
        <w:top w:val="nil"/>
        <w:left w:val="nil"/>
        <w:bottom w:val="nil"/>
        <w:right w:val="nil"/>
        <w:between w:val="nil"/>
        <w:bar w:val="nil"/>
      </w:pBdr>
      <w:spacing w:before="480" w:line="276" w:lineRule="auto"/>
      <w:outlineLvl w:val="0"/>
    </w:pPr>
    <w:rPr>
      <w:rFonts w:cs="Calibri"/>
      <w:b/>
      <w:bCs/>
      <w:color w:val="C00000"/>
      <w:sz w:val="28"/>
      <w:szCs w:val="28"/>
      <w:u w:color="C00000"/>
      <w:bdr w:val="nil"/>
    </w:rPr>
  </w:style>
  <w:style w:type="paragraph" w:customStyle="1" w:styleId="Body">
    <w:name w:val="Body"/>
    <w:rsid w:val="00BF725C"/>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NormalWeb">
    <w:name w:val="Normal (Web)"/>
    <w:basedOn w:val="Normal"/>
    <w:uiPriority w:val="99"/>
    <w:unhideWhenUsed/>
    <w:rsid w:val="00FD7254"/>
    <w:pPr>
      <w:jc w:val="left"/>
    </w:pPr>
    <w:rPr>
      <w:rFonts w:ascii="Times New Roman" w:eastAsiaTheme="minorHAnsi" w:hAnsi="Times New Roman"/>
      <w:sz w:val="24"/>
      <w:szCs w:val="24"/>
      <w:lang w:eastAsia="en-GB"/>
    </w:rPr>
  </w:style>
  <w:style w:type="character" w:customStyle="1" w:styleId="SectionheadingChar">
    <w:name w:val="Section heading Char"/>
    <w:link w:val="Sectionheading"/>
    <w:locked/>
    <w:rsid w:val="00E414AB"/>
    <w:rPr>
      <w:rFonts w:eastAsia="Times New Roman" w:cs="Arial"/>
      <w:b/>
      <w:color w:val="FF6D10"/>
      <w:sz w:val="32"/>
      <w:szCs w:val="32"/>
      <w:lang w:eastAsia="en-US"/>
    </w:rPr>
  </w:style>
  <w:style w:type="paragraph" w:customStyle="1" w:styleId="Sectionheading">
    <w:name w:val="Section heading"/>
    <w:basedOn w:val="Normal"/>
    <w:link w:val="SectionheadingChar"/>
    <w:qFormat/>
    <w:rsid w:val="00E414AB"/>
    <w:pPr>
      <w:numPr>
        <w:numId w:val="19"/>
      </w:numPr>
      <w:spacing w:line="276" w:lineRule="auto"/>
      <w:jc w:val="left"/>
    </w:pPr>
    <w:rPr>
      <w:rFonts w:eastAsia="Times New Roman" w:cs="Arial"/>
      <w:b/>
      <w:color w:val="FF6D10"/>
      <w:sz w:val="32"/>
      <w:szCs w:val="32"/>
    </w:rPr>
  </w:style>
  <w:style w:type="character" w:styleId="CommentReference">
    <w:name w:val="annotation reference"/>
    <w:basedOn w:val="DefaultParagraphFont"/>
    <w:uiPriority w:val="99"/>
    <w:semiHidden/>
    <w:unhideWhenUsed/>
    <w:rsid w:val="009B5F39"/>
    <w:rPr>
      <w:sz w:val="16"/>
      <w:szCs w:val="16"/>
    </w:rPr>
  </w:style>
  <w:style w:type="paragraph" w:styleId="CommentText">
    <w:name w:val="annotation text"/>
    <w:basedOn w:val="Normal"/>
    <w:link w:val="CommentTextChar"/>
    <w:uiPriority w:val="99"/>
    <w:semiHidden/>
    <w:unhideWhenUsed/>
    <w:rsid w:val="009B5F39"/>
    <w:rPr>
      <w:sz w:val="20"/>
      <w:szCs w:val="20"/>
    </w:rPr>
  </w:style>
  <w:style w:type="character" w:customStyle="1" w:styleId="CommentTextChar">
    <w:name w:val="Comment Text Char"/>
    <w:basedOn w:val="DefaultParagraphFont"/>
    <w:link w:val="CommentText"/>
    <w:uiPriority w:val="99"/>
    <w:semiHidden/>
    <w:rsid w:val="009B5F39"/>
    <w:rPr>
      <w:lang w:eastAsia="en-US"/>
    </w:rPr>
  </w:style>
  <w:style w:type="paragraph" w:styleId="CommentSubject">
    <w:name w:val="annotation subject"/>
    <w:basedOn w:val="CommentText"/>
    <w:next w:val="CommentText"/>
    <w:link w:val="CommentSubjectChar"/>
    <w:uiPriority w:val="99"/>
    <w:semiHidden/>
    <w:unhideWhenUsed/>
    <w:rsid w:val="009B5F39"/>
    <w:rPr>
      <w:b/>
      <w:bCs/>
    </w:rPr>
  </w:style>
  <w:style w:type="character" w:customStyle="1" w:styleId="CommentSubjectChar">
    <w:name w:val="Comment Subject Char"/>
    <w:basedOn w:val="CommentTextChar"/>
    <w:link w:val="CommentSubject"/>
    <w:uiPriority w:val="99"/>
    <w:semiHidden/>
    <w:rsid w:val="009B5F39"/>
    <w:rPr>
      <w:b/>
      <w:bCs/>
      <w:lang w:eastAsia="en-US"/>
    </w:rPr>
  </w:style>
  <w:style w:type="paragraph" w:styleId="FootnoteText">
    <w:name w:val="footnote text"/>
    <w:basedOn w:val="Normal"/>
    <w:link w:val="FootnoteTextChar"/>
    <w:uiPriority w:val="99"/>
    <w:semiHidden/>
    <w:unhideWhenUsed/>
    <w:rsid w:val="00B003EA"/>
    <w:rPr>
      <w:sz w:val="20"/>
      <w:szCs w:val="20"/>
    </w:rPr>
  </w:style>
  <w:style w:type="character" w:customStyle="1" w:styleId="FootnoteTextChar">
    <w:name w:val="Footnote Text Char"/>
    <w:basedOn w:val="DefaultParagraphFont"/>
    <w:link w:val="FootnoteText"/>
    <w:uiPriority w:val="99"/>
    <w:semiHidden/>
    <w:rsid w:val="00B003EA"/>
    <w:rPr>
      <w:lang w:eastAsia="en-US"/>
    </w:rPr>
  </w:style>
  <w:style w:type="character" w:styleId="FootnoteReference">
    <w:name w:val="footnote reference"/>
    <w:basedOn w:val="DefaultParagraphFont"/>
    <w:uiPriority w:val="99"/>
    <w:semiHidden/>
    <w:unhideWhenUsed/>
    <w:rsid w:val="00B003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5341">
      <w:bodyDiv w:val="1"/>
      <w:marLeft w:val="0"/>
      <w:marRight w:val="0"/>
      <w:marTop w:val="0"/>
      <w:marBottom w:val="0"/>
      <w:divBdr>
        <w:top w:val="none" w:sz="0" w:space="0" w:color="auto"/>
        <w:left w:val="none" w:sz="0" w:space="0" w:color="auto"/>
        <w:bottom w:val="none" w:sz="0" w:space="0" w:color="auto"/>
        <w:right w:val="none" w:sz="0" w:space="0" w:color="auto"/>
      </w:divBdr>
    </w:div>
    <w:div w:id="47534983">
      <w:bodyDiv w:val="1"/>
      <w:marLeft w:val="0"/>
      <w:marRight w:val="0"/>
      <w:marTop w:val="0"/>
      <w:marBottom w:val="0"/>
      <w:divBdr>
        <w:top w:val="none" w:sz="0" w:space="0" w:color="auto"/>
        <w:left w:val="none" w:sz="0" w:space="0" w:color="auto"/>
        <w:bottom w:val="none" w:sz="0" w:space="0" w:color="auto"/>
        <w:right w:val="none" w:sz="0" w:space="0" w:color="auto"/>
      </w:divBdr>
    </w:div>
    <w:div w:id="132411720">
      <w:bodyDiv w:val="1"/>
      <w:marLeft w:val="0"/>
      <w:marRight w:val="0"/>
      <w:marTop w:val="0"/>
      <w:marBottom w:val="0"/>
      <w:divBdr>
        <w:top w:val="none" w:sz="0" w:space="0" w:color="auto"/>
        <w:left w:val="none" w:sz="0" w:space="0" w:color="auto"/>
        <w:bottom w:val="none" w:sz="0" w:space="0" w:color="auto"/>
        <w:right w:val="none" w:sz="0" w:space="0" w:color="auto"/>
      </w:divBdr>
    </w:div>
    <w:div w:id="302543051">
      <w:bodyDiv w:val="1"/>
      <w:marLeft w:val="0"/>
      <w:marRight w:val="0"/>
      <w:marTop w:val="0"/>
      <w:marBottom w:val="0"/>
      <w:divBdr>
        <w:top w:val="none" w:sz="0" w:space="0" w:color="auto"/>
        <w:left w:val="none" w:sz="0" w:space="0" w:color="auto"/>
        <w:bottom w:val="none" w:sz="0" w:space="0" w:color="auto"/>
        <w:right w:val="none" w:sz="0" w:space="0" w:color="auto"/>
      </w:divBdr>
    </w:div>
    <w:div w:id="419299741">
      <w:bodyDiv w:val="1"/>
      <w:marLeft w:val="0"/>
      <w:marRight w:val="0"/>
      <w:marTop w:val="0"/>
      <w:marBottom w:val="0"/>
      <w:divBdr>
        <w:top w:val="none" w:sz="0" w:space="0" w:color="auto"/>
        <w:left w:val="none" w:sz="0" w:space="0" w:color="auto"/>
        <w:bottom w:val="none" w:sz="0" w:space="0" w:color="auto"/>
        <w:right w:val="none" w:sz="0" w:space="0" w:color="auto"/>
      </w:divBdr>
    </w:div>
    <w:div w:id="432242474">
      <w:bodyDiv w:val="1"/>
      <w:marLeft w:val="0"/>
      <w:marRight w:val="0"/>
      <w:marTop w:val="0"/>
      <w:marBottom w:val="0"/>
      <w:divBdr>
        <w:top w:val="none" w:sz="0" w:space="0" w:color="auto"/>
        <w:left w:val="none" w:sz="0" w:space="0" w:color="auto"/>
        <w:bottom w:val="none" w:sz="0" w:space="0" w:color="auto"/>
        <w:right w:val="none" w:sz="0" w:space="0" w:color="auto"/>
      </w:divBdr>
    </w:div>
    <w:div w:id="481586985">
      <w:bodyDiv w:val="1"/>
      <w:marLeft w:val="0"/>
      <w:marRight w:val="0"/>
      <w:marTop w:val="0"/>
      <w:marBottom w:val="0"/>
      <w:divBdr>
        <w:top w:val="none" w:sz="0" w:space="0" w:color="auto"/>
        <w:left w:val="none" w:sz="0" w:space="0" w:color="auto"/>
        <w:bottom w:val="none" w:sz="0" w:space="0" w:color="auto"/>
        <w:right w:val="none" w:sz="0" w:space="0" w:color="auto"/>
      </w:divBdr>
    </w:div>
    <w:div w:id="516701569">
      <w:bodyDiv w:val="1"/>
      <w:marLeft w:val="0"/>
      <w:marRight w:val="0"/>
      <w:marTop w:val="0"/>
      <w:marBottom w:val="0"/>
      <w:divBdr>
        <w:top w:val="none" w:sz="0" w:space="0" w:color="auto"/>
        <w:left w:val="none" w:sz="0" w:space="0" w:color="auto"/>
        <w:bottom w:val="none" w:sz="0" w:space="0" w:color="auto"/>
        <w:right w:val="none" w:sz="0" w:space="0" w:color="auto"/>
      </w:divBdr>
    </w:div>
    <w:div w:id="545722296">
      <w:bodyDiv w:val="1"/>
      <w:marLeft w:val="0"/>
      <w:marRight w:val="0"/>
      <w:marTop w:val="0"/>
      <w:marBottom w:val="0"/>
      <w:divBdr>
        <w:top w:val="none" w:sz="0" w:space="0" w:color="auto"/>
        <w:left w:val="none" w:sz="0" w:space="0" w:color="auto"/>
        <w:bottom w:val="none" w:sz="0" w:space="0" w:color="auto"/>
        <w:right w:val="none" w:sz="0" w:space="0" w:color="auto"/>
      </w:divBdr>
    </w:div>
    <w:div w:id="555823728">
      <w:bodyDiv w:val="1"/>
      <w:marLeft w:val="0"/>
      <w:marRight w:val="0"/>
      <w:marTop w:val="0"/>
      <w:marBottom w:val="0"/>
      <w:divBdr>
        <w:top w:val="none" w:sz="0" w:space="0" w:color="auto"/>
        <w:left w:val="none" w:sz="0" w:space="0" w:color="auto"/>
        <w:bottom w:val="none" w:sz="0" w:space="0" w:color="auto"/>
        <w:right w:val="none" w:sz="0" w:space="0" w:color="auto"/>
      </w:divBdr>
    </w:div>
    <w:div w:id="607087346">
      <w:bodyDiv w:val="1"/>
      <w:marLeft w:val="0"/>
      <w:marRight w:val="0"/>
      <w:marTop w:val="0"/>
      <w:marBottom w:val="0"/>
      <w:divBdr>
        <w:top w:val="none" w:sz="0" w:space="0" w:color="auto"/>
        <w:left w:val="none" w:sz="0" w:space="0" w:color="auto"/>
        <w:bottom w:val="none" w:sz="0" w:space="0" w:color="auto"/>
        <w:right w:val="none" w:sz="0" w:space="0" w:color="auto"/>
      </w:divBdr>
    </w:div>
    <w:div w:id="681516670">
      <w:bodyDiv w:val="1"/>
      <w:marLeft w:val="0"/>
      <w:marRight w:val="0"/>
      <w:marTop w:val="0"/>
      <w:marBottom w:val="0"/>
      <w:divBdr>
        <w:top w:val="none" w:sz="0" w:space="0" w:color="auto"/>
        <w:left w:val="none" w:sz="0" w:space="0" w:color="auto"/>
        <w:bottom w:val="none" w:sz="0" w:space="0" w:color="auto"/>
        <w:right w:val="none" w:sz="0" w:space="0" w:color="auto"/>
      </w:divBdr>
    </w:div>
    <w:div w:id="694311919">
      <w:bodyDiv w:val="1"/>
      <w:marLeft w:val="0"/>
      <w:marRight w:val="0"/>
      <w:marTop w:val="0"/>
      <w:marBottom w:val="0"/>
      <w:divBdr>
        <w:top w:val="none" w:sz="0" w:space="0" w:color="auto"/>
        <w:left w:val="none" w:sz="0" w:space="0" w:color="auto"/>
        <w:bottom w:val="none" w:sz="0" w:space="0" w:color="auto"/>
        <w:right w:val="none" w:sz="0" w:space="0" w:color="auto"/>
      </w:divBdr>
    </w:div>
    <w:div w:id="847059921">
      <w:bodyDiv w:val="1"/>
      <w:marLeft w:val="0"/>
      <w:marRight w:val="0"/>
      <w:marTop w:val="0"/>
      <w:marBottom w:val="0"/>
      <w:divBdr>
        <w:top w:val="none" w:sz="0" w:space="0" w:color="auto"/>
        <w:left w:val="none" w:sz="0" w:space="0" w:color="auto"/>
        <w:bottom w:val="none" w:sz="0" w:space="0" w:color="auto"/>
        <w:right w:val="none" w:sz="0" w:space="0" w:color="auto"/>
      </w:divBdr>
    </w:div>
    <w:div w:id="850417674">
      <w:bodyDiv w:val="1"/>
      <w:marLeft w:val="0"/>
      <w:marRight w:val="0"/>
      <w:marTop w:val="0"/>
      <w:marBottom w:val="0"/>
      <w:divBdr>
        <w:top w:val="none" w:sz="0" w:space="0" w:color="auto"/>
        <w:left w:val="none" w:sz="0" w:space="0" w:color="auto"/>
        <w:bottom w:val="none" w:sz="0" w:space="0" w:color="auto"/>
        <w:right w:val="none" w:sz="0" w:space="0" w:color="auto"/>
      </w:divBdr>
    </w:div>
    <w:div w:id="877669827">
      <w:bodyDiv w:val="1"/>
      <w:marLeft w:val="0"/>
      <w:marRight w:val="0"/>
      <w:marTop w:val="0"/>
      <w:marBottom w:val="0"/>
      <w:divBdr>
        <w:top w:val="none" w:sz="0" w:space="0" w:color="auto"/>
        <w:left w:val="none" w:sz="0" w:space="0" w:color="auto"/>
        <w:bottom w:val="none" w:sz="0" w:space="0" w:color="auto"/>
        <w:right w:val="none" w:sz="0" w:space="0" w:color="auto"/>
      </w:divBdr>
    </w:div>
    <w:div w:id="891385154">
      <w:bodyDiv w:val="1"/>
      <w:marLeft w:val="0"/>
      <w:marRight w:val="0"/>
      <w:marTop w:val="0"/>
      <w:marBottom w:val="0"/>
      <w:divBdr>
        <w:top w:val="none" w:sz="0" w:space="0" w:color="auto"/>
        <w:left w:val="none" w:sz="0" w:space="0" w:color="auto"/>
        <w:bottom w:val="none" w:sz="0" w:space="0" w:color="auto"/>
        <w:right w:val="none" w:sz="0" w:space="0" w:color="auto"/>
      </w:divBdr>
    </w:div>
    <w:div w:id="915438578">
      <w:bodyDiv w:val="1"/>
      <w:marLeft w:val="0"/>
      <w:marRight w:val="0"/>
      <w:marTop w:val="0"/>
      <w:marBottom w:val="0"/>
      <w:divBdr>
        <w:top w:val="none" w:sz="0" w:space="0" w:color="auto"/>
        <w:left w:val="none" w:sz="0" w:space="0" w:color="auto"/>
        <w:bottom w:val="none" w:sz="0" w:space="0" w:color="auto"/>
        <w:right w:val="none" w:sz="0" w:space="0" w:color="auto"/>
      </w:divBdr>
    </w:div>
    <w:div w:id="923346101">
      <w:bodyDiv w:val="1"/>
      <w:marLeft w:val="0"/>
      <w:marRight w:val="0"/>
      <w:marTop w:val="0"/>
      <w:marBottom w:val="0"/>
      <w:divBdr>
        <w:top w:val="none" w:sz="0" w:space="0" w:color="auto"/>
        <w:left w:val="none" w:sz="0" w:space="0" w:color="auto"/>
        <w:bottom w:val="none" w:sz="0" w:space="0" w:color="auto"/>
        <w:right w:val="none" w:sz="0" w:space="0" w:color="auto"/>
      </w:divBdr>
    </w:div>
    <w:div w:id="936213209">
      <w:bodyDiv w:val="1"/>
      <w:marLeft w:val="0"/>
      <w:marRight w:val="0"/>
      <w:marTop w:val="0"/>
      <w:marBottom w:val="0"/>
      <w:divBdr>
        <w:top w:val="none" w:sz="0" w:space="0" w:color="auto"/>
        <w:left w:val="none" w:sz="0" w:space="0" w:color="auto"/>
        <w:bottom w:val="none" w:sz="0" w:space="0" w:color="auto"/>
        <w:right w:val="none" w:sz="0" w:space="0" w:color="auto"/>
      </w:divBdr>
    </w:div>
    <w:div w:id="1011032133">
      <w:bodyDiv w:val="1"/>
      <w:marLeft w:val="0"/>
      <w:marRight w:val="0"/>
      <w:marTop w:val="0"/>
      <w:marBottom w:val="0"/>
      <w:divBdr>
        <w:top w:val="none" w:sz="0" w:space="0" w:color="auto"/>
        <w:left w:val="none" w:sz="0" w:space="0" w:color="auto"/>
        <w:bottom w:val="none" w:sz="0" w:space="0" w:color="auto"/>
        <w:right w:val="none" w:sz="0" w:space="0" w:color="auto"/>
      </w:divBdr>
    </w:div>
    <w:div w:id="1068066236">
      <w:bodyDiv w:val="1"/>
      <w:marLeft w:val="0"/>
      <w:marRight w:val="0"/>
      <w:marTop w:val="0"/>
      <w:marBottom w:val="0"/>
      <w:divBdr>
        <w:top w:val="none" w:sz="0" w:space="0" w:color="auto"/>
        <w:left w:val="none" w:sz="0" w:space="0" w:color="auto"/>
        <w:bottom w:val="none" w:sz="0" w:space="0" w:color="auto"/>
        <w:right w:val="none" w:sz="0" w:space="0" w:color="auto"/>
      </w:divBdr>
    </w:div>
    <w:div w:id="1133601246">
      <w:bodyDiv w:val="1"/>
      <w:marLeft w:val="0"/>
      <w:marRight w:val="0"/>
      <w:marTop w:val="0"/>
      <w:marBottom w:val="0"/>
      <w:divBdr>
        <w:top w:val="none" w:sz="0" w:space="0" w:color="auto"/>
        <w:left w:val="none" w:sz="0" w:space="0" w:color="auto"/>
        <w:bottom w:val="none" w:sz="0" w:space="0" w:color="auto"/>
        <w:right w:val="none" w:sz="0" w:space="0" w:color="auto"/>
      </w:divBdr>
    </w:div>
    <w:div w:id="1157376558">
      <w:bodyDiv w:val="1"/>
      <w:marLeft w:val="0"/>
      <w:marRight w:val="0"/>
      <w:marTop w:val="0"/>
      <w:marBottom w:val="0"/>
      <w:divBdr>
        <w:top w:val="none" w:sz="0" w:space="0" w:color="auto"/>
        <w:left w:val="none" w:sz="0" w:space="0" w:color="auto"/>
        <w:bottom w:val="none" w:sz="0" w:space="0" w:color="auto"/>
        <w:right w:val="none" w:sz="0" w:space="0" w:color="auto"/>
      </w:divBdr>
    </w:div>
    <w:div w:id="1224757272">
      <w:bodyDiv w:val="1"/>
      <w:marLeft w:val="0"/>
      <w:marRight w:val="0"/>
      <w:marTop w:val="0"/>
      <w:marBottom w:val="0"/>
      <w:divBdr>
        <w:top w:val="none" w:sz="0" w:space="0" w:color="auto"/>
        <w:left w:val="none" w:sz="0" w:space="0" w:color="auto"/>
        <w:bottom w:val="none" w:sz="0" w:space="0" w:color="auto"/>
        <w:right w:val="none" w:sz="0" w:space="0" w:color="auto"/>
      </w:divBdr>
    </w:div>
    <w:div w:id="1273513721">
      <w:bodyDiv w:val="1"/>
      <w:marLeft w:val="0"/>
      <w:marRight w:val="0"/>
      <w:marTop w:val="0"/>
      <w:marBottom w:val="0"/>
      <w:divBdr>
        <w:top w:val="none" w:sz="0" w:space="0" w:color="auto"/>
        <w:left w:val="none" w:sz="0" w:space="0" w:color="auto"/>
        <w:bottom w:val="none" w:sz="0" w:space="0" w:color="auto"/>
        <w:right w:val="none" w:sz="0" w:space="0" w:color="auto"/>
      </w:divBdr>
    </w:div>
    <w:div w:id="1403139900">
      <w:bodyDiv w:val="1"/>
      <w:marLeft w:val="0"/>
      <w:marRight w:val="0"/>
      <w:marTop w:val="0"/>
      <w:marBottom w:val="0"/>
      <w:divBdr>
        <w:top w:val="none" w:sz="0" w:space="0" w:color="auto"/>
        <w:left w:val="none" w:sz="0" w:space="0" w:color="auto"/>
        <w:bottom w:val="none" w:sz="0" w:space="0" w:color="auto"/>
        <w:right w:val="none" w:sz="0" w:space="0" w:color="auto"/>
      </w:divBdr>
    </w:div>
    <w:div w:id="1439448949">
      <w:bodyDiv w:val="1"/>
      <w:marLeft w:val="0"/>
      <w:marRight w:val="0"/>
      <w:marTop w:val="0"/>
      <w:marBottom w:val="0"/>
      <w:divBdr>
        <w:top w:val="none" w:sz="0" w:space="0" w:color="auto"/>
        <w:left w:val="none" w:sz="0" w:space="0" w:color="auto"/>
        <w:bottom w:val="none" w:sz="0" w:space="0" w:color="auto"/>
        <w:right w:val="none" w:sz="0" w:space="0" w:color="auto"/>
      </w:divBdr>
    </w:div>
    <w:div w:id="1447384268">
      <w:bodyDiv w:val="1"/>
      <w:marLeft w:val="0"/>
      <w:marRight w:val="0"/>
      <w:marTop w:val="0"/>
      <w:marBottom w:val="0"/>
      <w:divBdr>
        <w:top w:val="none" w:sz="0" w:space="0" w:color="auto"/>
        <w:left w:val="none" w:sz="0" w:space="0" w:color="auto"/>
        <w:bottom w:val="none" w:sz="0" w:space="0" w:color="auto"/>
        <w:right w:val="none" w:sz="0" w:space="0" w:color="auto"/>
      </w:divBdr>
    </w:div>
    <w:div w:id="1577010714">
      <w:bodyDiv w:val="1"/>
      <w:marLeft w:val="0"/>
      <w:marRight w:val="0"/>
      <w:marTop w:val="0"/>
      <w:marBottom w:val="0"/>
      <w:divBdr>
        <w:top w:val="none" w:sz="0" w:space="0" w:color="auto"/>
        <w:left w:val="none" w:sz="0" w:space="0" w:color="auto"/>
        <w:bottom w:val="none" w:sz="0" w:space="0" w:color="auto"/>
        <w:right w:val="none" w:sz="0" w:space="0" w:color="auto"/>
      </w:divBdr>
    </w:div>
    <w:div w:id="1667782885">
      <w:bodyDiv w:val="1"/>
      <w:marLeft w:val="0"/>
      <w:marRight w:val="0"/>
      <w:marTop w:val="0"/>
      <w:marBottom w:val="0"/>
      <w:divBdr>
        <w:top w:val="none" w:sz="0" w:space="0" w:color="auto"/>
        <w:left w:val="none" w:sz="0" w:space="0" w:color="auto"/>
        <w:bottom w:val="none" w:sz="0" w:space="0" w:color="auto"/>
        <w:right w:val="none" w:sz="0" w:space="0" w:color="auto"/>
      </w:divBdr>
    </w:div>
    <w:div w:id="1758863051">
      <w:bodyDiv w:val="1"/>
      <w:marLeft w:val="0"/>
      <w:marRight w:val="0"/>
      <w:marTop w:val="0"/>
      <w:marBottom w:val="0"/>
      <w:divBdr>
        <w:top w:val="none" w:sz="0" w:space="0" w:color="auto"/>
        <w:left w:val="none" w:sz="0" w:space="0" w:color="auto"/>
        <w:bottom w:val="none" w:sz="0" w:space="0" w:color="auto"/>
        <w:right w:val="none" w:sz="0" w:space="0" w:color="auto"/>
      </w:divBdr>
    </w:div>
    <w:div w:id="1764106937">
      <w:bodyDiv w:val="1"/>
      <w:marLeft w:val="0"/>
      <w:marRight w:val="0"/>
      <w:marTop w:val="0"/>
      <w:marBottom w:val="0"/>
      <w:divBdr>
        <w:top w:val="none" w:sz="0" w:space="0" w:color="auto"/>
        <w:left w:val="none" w:sz="0" w:space="0" w:color="auto"/>
        <w:bottom w:val="none" w:sz="0" w:space="0" w:color="auto"/>
        <w:right w:val="none" w:sz="0" w:space="0" w:color="auto"/>
      </w:divBdr>
    </w:div>
    <w:div w:id="1791633200">
      <w:bodyDiv w:val="1"/>
      <w:marLeft w:val="0"/>
      <w:marRight w:val="0"/>
      <w:marTop w:val="0"/>
      <w:marBottom w:val="0"/>
      <w:divBdr>
        <w:top w:val="none" w:sz="0" w:space="0" w:color="auto"/>
        <w:left w:val="none" w:sz="0" w:space="0" w:color="auto"/>
        <w:bottom w:val="none" w:sz="0" w:space="0" w:color="auto"/>
        <w:right w:val="none" w:sz="0" w:space="0" w:color="auto"/>
      </w:divBdr>
    </w:div>
    <w:div w:id="1837526877">
      <w:bodyDiv w:val="1"/>
      <w:marLeft w:val="0"/>
      <w:marRight w:val="0"/>
      <w:marTop w:val="0"/>
      <w:marBottom w:val="0"/>
      <w:divBdr>
        <w:top w:val="none" w:sz="0" w:space="0" w:color="auto"/>
        <w:left w:val="none" w:sz="0" w:space="0" w:color="auto"/>
        <w:bottom w:val="none" w:sz="0" w:space="0" w:color="auto"/>
        <w:right w:val="none" w:sz="0" w:space="0" w:color="auto"/>
      </w:divBdr>
    </w:div>
    <w:div w:id="1940867841">
      <w:bodyDiv w:val="1"/>
      <w:marLeft w:val="0"/>
      <w:marRight w:val="0"/>
      <w:marTop w:val="0"/>
      <w:marBottom w:val="0"/>
      <w:divBdr>
        <w:top w:val="none" w:sz="0" w:space="0" w:color="auto"/>
        <w:left w:val="none" w:sz="0" w:space="0" w:color="auto"/>
        <w:bottom w:val="none" w:sz="0" w:space="0" w:color="auto"/>
        <w:right w:val="none" w:sz="0" w:space="0" w:color="auto"/>
      </w:divBdr>
    </w:div>
    <w:div w:id="1986662204">
      <w:bodyDiv w:val="1"/>
      <w:marLeft w:val="0"/>
      <w:marRight w:val="0"/>
      <w:marTop w:val="0"/>
      <w:marBottom w:val="0"/>
      <w:divBdr>
        <w:top w:val="none" w:sz="0" w:space="0" w:color="auto"/>
        <w:left w:val="none" w:sz="0" w:space="0" w:color="auto"/>
        <w:bottom w:val="none" w:sz="0" w:space="0" w:color="auto"/>
        <w:right w:val="none" w:sz="0" w:space="0" w:color="auto"/>
      </w:divBdr>
    </w:div>
    <w:div w:id="2004777038">
      <w:bodyDiv w:val="1"/>
      <w:marLeft w:val="0"/>
      <w:marRight w:val="0"/>
      <w:marTop w:val="0"/>
      <w:marBottom w:val="0"/>
      <w:divBdr>
        <w:top w:val="none" w:sz="0" w:space="0" w:color="auto"/>
        <w:left w:val="none" w:sz="0" w:space="0" w:color="auto"/>
        <w:bottom w:val="none" w:sz="0" w:space="0" w:color="auto"/>
        <w:right w:val="none" w:sz="0" w:space="0" w:color="auto"/>
      </w:divBdr>
    </w:div>
    <w:div w:id="2007122769">
      <w:bodyDiv w:val="1"/>
      <w:marLeft w:val="0"/>
      <w:marRight w:val="0"/>
      <w:marTop w:val="0"/>
      <w:marBottom w:val="0"/>
      <w:divBdr>
        <w:top w:val="none" w:sz="0" w:space="0" w:color="auto"/>
        <w:left w:val="none" w:sz="0" w:space="0" w:color="auto"/>
        <w:bottom w:val="none" w:sz="0" w:space="0" w:color="auto"/>
        <w:right w:val="none" w:sz="0" w:space="0" w:color="auto"/>
      </w:divBdr>
    </w:div>
    <w:div w:id="20695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ilandgasuk.co.uk/legalservices.cf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oilandgasuk.co.uk/about-us/forums.cfm" TargetMode="External"/><Relationship Id="rId1" Type="http://schemas.openxmlformats.org/officeDocument/2006/relationships/hyperlink" Target="http://oilandgasuk.co.uk/legalservices.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yan\AppData\Local\Microsoft\Windows\Temporary%20Internet%20Files\Content.Outlook\U5WDFYNN\Charter%20-%20Oil%20%20Gas%20UK%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11073-34D9-4FF2-B374-22AAAA8B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Charter - Oil  Gas UK Template 2016</Template>
  <TotalTime>2</TotalTime>
  <Pages>4</Pages>
  <Words>1092</Words>
  <Characters>6229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O'Hara Murray</dc:creator>
  <cp:lastModifiedBy>Francesca Bell</cp:lastModifiedBy>
  <cp:revision>2</cp:revision>
  <cp:lastPrinted>2019-01-24T15:49:00Z</cp:lastPrinted>
  <dcterms:created xsi:type="dcterms:W3CDTF">2020-04-02T15:10:00Z</dcterms:created>
  <dcterms:modified xsi:type="dcterms:W3CDTF">2020-04-02T15:10:00Z</dcterms:modified>
</cp:coreProperties>
</file>