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73D88" w14:textId="77777777" w:rsidR="000831B9" w:rsidRDefault="000831B9" w:rsidP="000831B9">
      <w:pPr>
        <w:pStyle w:val="BodyText"/>
        <w:rPr>
          <w:color w:val="FF0000"/>
          <w:sz w:val="16"/>
        </w:rPr>
      </w:pPr>
    </w:p>
    <w:p w14:paraId="48C03A23" w14:textId="77777777" w:rsidR="007B30A9" w:rsidRDefault="007B30A9" w:rsidP="000831B9">
      <w:pPr>
        <w:pStyle w:val="BodyText"/>
        <w:rPr>
          <w:color w:val="FF0000"/>
          <w:sz w:val="16"/>
        </w:rPr>
      </w:pPr>
    </w:p>
    <w:p w14:paraId="11831F3E" w14:textId="77777777" w:rsidR="007B30A9" w:rsidRDefault="007B30A9" w:rsidP="000831B9">
      <w:pPr>
        <w:pStyle w:val="BodyText"/>
        <w:rPr>
          <w:color w:val="FF0000"/>
          <w:sz w:val="16"/>
        </w:rPr>
      </w:pPr>
    </w:p>
    <w:p w14:paraId="6E524EC9" w14:textId="77777777" w:rsidR="007B30A9" w:rsidRDefault="007B30A9" w:rsidP="000831B9">
      <w:pPr>
        <w:pStyle w:val="BodyText"/>
        <w:rPr>
          <w:color w:val="FF0000"/>
          <w:sz w:val="16"/>
        </w:rPr>
      </w:pPr>
    </w:p>
    <w:p w14:paraId="66A556E0" w14:textId="77777777" w:rsidR="007B30A9" w:rsidRDefault="007B30A9" w:rsidP="000831B9">
      <w:pPr>
        <w:pStyle w:val="BodyText"/>
        <w:rPr>
          <w:color w:val="FF0000"/>
          <w:sz w:val="16"/>
        </w:rPr>
      </w:pPr>
    </w:p>
    <w:p w14:paraId="7002B1E7" w14:textId="77777777" w:rsidR="007B30A9" w:rsidRDefault="007B30A9" w:rsidP="000831B9">
      <w:pPr>
        <w:pStyle w:val="BodyText"/>
        <w:rPr>
          <w:color w:val="FF0000"/>
          <w:sz w:val="16"/>
        </w:rPr>
      </w:pPr>
    </w:p>
    <w:p w14:paraId="326FE5A7" w14:textId="77777777" w:rsidR="007B30A9" w:rsidRDefault="007B30A9" w:rsidP="000831B9">
      <w:pPr>
        <w:pStyle w:val="BodyText"/>
        <w:rPr>
          <w:color w:val="FF0000"/>
          <w:sz w:val="16"/>
        </w:rPr>
      </w:pPr>
    </w:p>
    <w:p w14:paraId="09C9FF87" w14:textId="77777777" w:rsidR="007B30A9" w:rsidRDefault="007B30A9" w:rsidP="000831B9">
      <w:pPr>
        <w:pStyle w:val="BodyText"/>
        <w:rPr>
          <w:color w:val="FF0000"/>
          <w:sz w:val="16"/>
        </w:rPr>
      </w:pPr>
    </w:p>
    <w:p w14:paraId="255C98F0" w14:textId="77777777" w:rsidR="007B30A9" w:rsidRDefault="007B30A9" w:rsidP="000831B9">
      <w:pPr>
        <w:pStyle w:val="BodyText"/>
        <w:rPr>
          <w:color w:val="FF0000"/>
          <w:sz w:val="16"/>
        </w:rPr>
      </w:pPr>
    </w:p>
    <w:p w14:paraId="6C64002F" w14:textId="77777777" w:rsidR="007B30A9" w:rsidRDefault="007B30A9" w:rsidP="000831B9">
      <w:pPr>
        <w:pStyle w:val="BodyText"/>
        <w:rPr>
          <w:color w:val="FF0000"/>
          <w:sz w:val="16"/>
        </w:rPr>
      </w:pPr>
    </w:p>
    <w:p w14:paraId="5367F279" w14:textId="77777777" w:rsidR="007B30A9" w:rsidRDefault="007B30A9" w:rsidP="000831B9">
      <w:pPr>
        <w:pStyle w:val="BodyText"/>
        <w:rPr>
          <w:color w:val="FF0000"/>
          <w:sz w:val="16"/>
        </w:rPr>
      </w:pPr>
    </w:p>
    <w:p w14:paraId="55CDFF45" w14:textId="77777777" w:rsidR="007B30A9" w:rsidRDefault="007B30A9" w:rsidP="000831B9">
      <w:pPr>
        <w:pStyle w:val="BodyText"/>
        <w:rPr>
          <w:color w:val="FF0000"/>
          <w:sz w:val="16"/>
        </w:rPr>
      </w:pPr>
    </w:p>
    <w:p w14:paraId="5AC6E8CF" w14:textId="77777777" w:rsidR="007B30A9" w:rsidRDefault="007B30A9" w:rsidP="000831B9">
      <w:pPr>
        <w:pStyle w:val="BodyText"/>
        <w:rPr>
          <w:color w:val="FF0000"/>
          <w:sz w:val="16"/>
        </w:rPr>
      </w:pPr>
    </w:p>
    <w:p w14:paraId="1BDE38E0" w14:textId="77777777" w:rsidR="007B30A9" w:rsidRDefault="007B30A9" w:rsidP="000831B9">
      <w:pPr>
        <w:pStyle w:val="BodyText"/>
        <w:rPr>
          <w:color w:val="FF0000"/>
          <w:sz w:val="16"/>
        </w:rPr>
      </w:pPr>
    </w:p>
    <w:p w14:paraId="37389D87" w14:textId="77777777" w:rsidR="007B30A9" w:rsidRDefault="007B30A9" w:rsidP="000831B9">
      <w:pPr>
        <w:pStyle w:val="BodyText"/>
        <w:rPr>
          <w:color w:val="FF0000"/>
          <w:sz w:val="16"/>
        </w:rPr>
      </w:pPr>
    </w:p>
    <w:p w14:paraId="120007B5" w14:textId="77777777" w:rsidR="007B30A9" w:rsidRDefault="007B30A9" w:rsidP="000831B9">
      <w:pPr>
        <w:pStyle w:val="BodyText"/>
        <w:rPr>
          <w:color w:val="FF0000"/>
          <w:sz w:val="16"/>
        </w:rPr>
      </w:pPr>
    </w:p>
    <w:p w14:paraId="26345F0E" w14:textId="77777777" w:rsidR="007B30A9" w:rsidRDefault="007B30A9" w:rsidP="000831B9">
      <w:pPr>
        <w:pStyle w:val="BodyText"/>
        <w:rPr>
          <w:color w:val="FF0000"/>
          <w:sz w:val="16"/>
        </w:rPr>
      </w:pPr>
    </w:p>
    <w:p w14:paraId="422F6DAF" w14:textId="77777777" w:rsidR="007B30A9" w:rsidRDefault="007B30A9" w:rsidP="000831B9">
      <w:pPr>
        <w:pStyle w:val="BodyText"/>
        <w:rPr>
          <w:color w:val="FF0000"/>
          <w:sz w:val="16"/>
        </w:rPr>
      </w:pPr>
    </w:p>
    <w:p w14:paraId="308FA4FF" w14:textId="77777777" w:rsidR="007B30A9" w:rsidRDefault="007B30A9" w:rsidP="000831B9">
      <w:pPr>
        <w:pStyle w:val="BodyText"/>
        <w:rPr>
          <w:color w:val="FF0000"/>
          <w:sz w:val="16"/>
        </w:rPr>
      </w:pPr>
    </w:p>
    <w:p w14:paraId="11B99CFC" w14:textId="77777777" w:rsidR="007B30A9" w:rsidRDefault="007B30A9" w:rsidP="000831B9">
      <w:pPr>
        <w:pStyle w:val="BodyText"/>
        <w:rPr>
          <w:color w:val="FF0000"/>
          <w:sz w:val="16"/>
        </w:rPr>
      </w:pPr>
    </w:p>
    <w:p w14:paraId="18C83AED" w14:textId="77777777" w:rsidR="007B30A9" w:rsidRDefault="007B30A9" w:rsidP="000831B9">
      <w:pPr>
        <w:pStyle w:val="BodyText"/>
        <w:rPr>
          <w:color w:val="FF0000"/>
          <w:sz w:val="16"/>
        </w:rPr>
      </w:pPr>
    </w:p>
    <w:p w14:paraId="54896598" w14:textId="77777777" w:rsidR="007B30A9" w:rsidRDefault="007B30A9" w:rsidP="000831B9">
      <w:pPr>
        <w:pStyle w:val="BodyText"/>
        <w:rPr>
          <w:color w:val="FF0000"/>
          <w:sz w:val="16"/>
        </w:rPr>
      </w:pPr>
    </w:p>
    <w:p w14:paraId="360B6DB5" w14:textId="77777777" w:rsidR="007B30A9" w:rsidRDefault="007B30A9" w:rsidP="000831B9">
      <w:pPr>
        <w:pStyle w:val="BodyText"/>
        <w:rPr>
          <w:color w:val="FF0000"/>
          <w:sz w:val="16"/>
        </w:rPr>
      </w:pPr>
    </w:p>
    <w:p w14:paraId="6F7C8B66" w14:textId="77777777" w:rsidR="007B30A9" w:rsidRDefault="007B30A9" w:rsidP="000831B9">
      <w:pPr>
        <w:pStyle w:val="BodyText"/>
        <w:rPr>
          <w:color w:val="FF0000"/>
          <w:sz w:val="16"/>
        </w:rPr>
      </w:pPr>
    </w:p>
    <w:p w14:paraId="17FCAF4F" w14:textId="77777777" w:rsidR="007B30A9" w:rsidRDefault="007B30A9" w:rsidP="000831B9">
      <w:pPr>
        <w:pStyle w:val="BodyText"/>
        <w:rPr>
          <w:color w:val="FF0000"/>
          <w:sz w:val="16"/>
        </w:rPr>
      </w:pPr>
    </w:p>
    <w:p w14:paraId="53DE28DD" w14:textId="77777777" w:rsidR="007B30A9" w:rsidRDefault="007B30A9" w:rsidP="000831B9">
      <w:pPr>
        <w:pStyle w:val="BodyText"/>
        <w:rPr>
          <w:color w:val="FF0000"/>
          <w:sz w:val="16"/>
        </w:rPr>
      </w:pPr>
    </w:p>
    <w:p w14:paraId="0CD284D9" w14:textId="77777777" w:rsidR="007B30A9" w:rsidRDefault="007B30A9" w:rsidP="000831B9">
      <w:pPr>
        <w:pStyle w:val="BodyText"/>
        <w:rPr>
          <w:color w:val="FF0000"/>
          <w:sz w:val="16"/>
        </w:rPr>
      </w:pPr>
    </w:p>
    <w:p w14:paraId="033F3527" w14:textId="77777777" w:rsidR="007B30A9" w:rsidRDefault="007B30A9" w:rsidP="000831B9">
      <w:pPr>
        <w:pStyle w:val="BodyText"/>
        <w:rPr>
          <w:color w:val="FF0000"/>
          <w:sz w:val="16"/>
        </w:rPr>
      </w:pPr>
    </w:p>
    <w:p w14:paraId="2AE6D51D" w14:textId="77777777" w:rsidR="007B30A9" w:rsidRDefault="007B30A9" w:rsidP="000831B9">
      <w:pPr>
        <w:pStyle w:val="BodyText"/>
        <w:rPr>
          <w:color w:val="FF0000"/>
          <w:sz w:val="16"/>
        </w:rPr>
      </w:pPr>
    </w:p>
    <w:p w14:paraId="748A7900" w14:textId="77777777" w:rsidR="007B30A9" w:rsidRDefault="007B30A9" w:rsidP="000831B9">
      <w:pPr>
        <w:pStyle w:val="BodyText"/>
        <w:rPr>
          <w:color w:val="FF0000"/>
          <w:sz w:val="16"/>
        </w:rPr>
      </w:pPr>
    </w:p>
    <w:p w14:paraId="7F50E012" w14:textId="77777777" w:rsidR="007B30A9" w:rsidRDefault="007B30A9" w:rsidP="000831B9">
      <w:pPr>
        <w:pStyle w:val="BodyText"/>
        <w:rPr>
          <w:color w:val="FF0000"/>
          <w:sz w:val="16"/>
        </w:rPr>
      </w:pPr>
    </w:p>
    <w:p w14:paraId="5CB1021B" w14:textId="77777777" w:rsidR="007B30A9" w:rsidRDefault="007B30A9" w:rsidP="000831B9">
      <w:pPr>
        <w:pStyle w:val="BodyText"/>
        <w:rPr>
          <w:color w:val="FF0000"/>
          <w:sz w:val="16"/>
        </w:rPr>
      </w:pPr>
    </w:p>
    <w:p w14:paraId="0DAAB17C" w14:textId="77777777" w:rsidR="007B30A9" w:rsidRDefault="007B30A9" w:rsidP="000831B9">
      <w:pPr>
        <w:pStyle w:val="BodyText"/>
        <w:rPr>
          <w:color w:val="FF0000"/>
          <w:sz w:val="16"/>
        </w:rPr>
      </w:pPr>
    </w:p>
    <w:p w14:paraId="68679632" w14:textId="77777777" w:rsidR="007B30A9" w:rsidRDefault="007B30A9" w:rsidP="000831B9">
      <w:pPr>
        <w:pStyle w:val="BodyText"/>
        <w:rPr>
          <w:color w:val="FF0000"/>
          <w:sz w:val="16"/>
        </w:rPr>
      </w:pPr>
    </w:p>
    <w:p w14:paraId="68F9E62F" w14:textId="77777777" w:rsidR="007B30A9" w:rsidRDefault="007B30A9" w:rsidP="000831B9">
      <w:pPr>
        <w:pStyle w:val="BodyText"/>
        <w:rPr>
          <w:color w:val="FF0000"/>
          <w:sz w:val="16"/>
        </w:rPr>
      </w:pPr>
    </w:p>
    <w:p w14:paraId="56009A1A" w14:textId="77777777" w:rsidR="007B30A9" w:rsidRDefault="007B30A9" w:rsidP="000831B9">
      <w:pPr>
        <w:pStyle w:val="BodyText"/>
        <w:rPr>
          <w:color w:val="FF0000"/>
          <w:sz w:val="16"/>
        </w:rPr>
      </w:pPr>
    </w:p>
    <w:p w14:paraId="7024A90A" w14:textId="77777777" w:rsidR="007B30A9" w:rsidRDefault="007B30A9" w:rsidP="000831B9">
      <w:pPr>
        <w:pStyle w:val="BodyText"/>
        <w:rPr>
          <w:color w:val="FF0000"/>
          <w:sz w:val="16"/>
        </w:rPr>
      </w:pPr>
    </w:p>
    <w:p w14:paraId="4975DD6B" w14:textId="77777777" w:rsidR="007B30A9" w:rsidRDefault="007B30A9" w:rsidP="000831B9">
      <w:pPr>
        <w:pStyle w:val="BodyText"/>
        <w:rPr>
          <w:color w:val="FF0000"/>
          <w:sz w:val="16"/>
        </w:rPr>
      </w:pPr>
    </w:p>
    <w:p w14:paraId="166CD9D8" w14:textId="77777777" w:rsidR="00CE7581" w:rsidRPr="00D1290A" w:rsidRDefault="00CE7581" w:rsidP="00CE7581">
      <w:pPr>
        <w:jc w:val="both"/>
        <w:rPr>
          <w:sz w:val="20"/>
          <w:szCs w:val="20"/>
        </w:rPr>
      </w:pPr>
      <w:r w:rsidRPr="00D1290A">
        <w:rPr>
          <w:sz w:val="20"/>
          <w:szCs w:val="20"/>
        </w:rPr>
        <w:t xml:space="preserve">These Procedures set out what is generally regarded in the </w:t>
      </w:r>
      <w:proofErr w:type="gramStart"/>
      <w:r w:rsidRPr="00D1290A">
        <w:rPr>
          <w:sz w:val="20"/>
          <w:szCs w:val="20"/>
        </w:rPr>
        <w:t>Industry</w:t>
      </w:r>
      <w:proofErr w:type="gramEnd"/>
      <w:r w:rsidRPr="00D1290A">
        <w:rPr>
          <w:sz w:val="20"/>
          <w:szCs w:val="20"/>
        </w:rPr>
        <w:t xml:space="preserve"> as good practice. They are not mandatory and Operators may adopt different standards in a particular situation where to do so would maintain an equivalent level of reporting. Where there is an inconsistency with the Accounting Procedure, the Accounting Procedure will prevail.</w:t>
      </w:r>
    </w:p>
    <w:p w14:paraId="68EE02AA" w14:textId="77777777" w:rsidR="00CE7581" w:rsidRPr="00D1290A" w:rsidRDefault="00CE7581" w:rsidP="00CE7581">
      <w:pPr>
        <w:jc w:val="both"/>
        <w:rPr>
          <w:color w:val="FF0000"/>
          <w:sz w:val="20"/>
          <w:szCs w:val="20"/>
        </w:rPr>
      </w:pPr>
    </w:p>
    <w:p w14:paraId="0DE933BD" w14:textId="77777777" w:rsidR="00CE7581" w:rsidRPr="00D1290A" w:rsidRDefault="00CE7581" w:rsidP="00CE7581">
      <w:pPr>
        <w:jc w:val="both"/>
        <w:rPr>
          <w:sz w:val="20"/>
          <w:szCs w:val="20"/>
        </w:rPr>
      </w:pPr>
      <w:r w:rsidRPr="00D1290A">
        <w:rPr>
          <w:sz w:val="20"/>
          <w:szCs w:val="20"/>
        </w:rPr>
        <w:t xml:space="preserve">All rights reserved. This document may be freely reproduced and used while acknowledging its </w:t>
      </w:r>
      <w:proofErr w:type="gramStart"/>
      <w:r w:rsidRPr="00D1290A">
        <w:rPr>
          <w:sz w:val="20"/>
          <w:szCs w:val="20"/>
        </w:rPr>
        <w:t>source, but</w:t>
      </w:r>
      <w:proofErr w:type="gramEnd"/>
      <w:r w:rsidRPr="00D1290A">
        <w:rPr>
          <w:sz w:val="20"/>
          <w:szCs w:val="20"/>
        </w:rPr>
        <w:t xml:space="preserve"> may not be hosted on any website other than OEUK’s. While the information in this document is given in good faith and belief in its accuracy, neither Offshore Energies UK nor its members accept any responsibility whatever for the consequences of its use in any </w:t>
      </w:r>
      <w:proofErr w:type="gramStart"/>
      <w:r w:rsidRPr="00D1290A">
        <w:rPr>
          <w:sz w:val="20"/>
          <w:szCs w:val="20"/>
        </w:rPr>
        <w:t>particular circumstances</w:t>
      </w:r>
      <w:proofErr w:type="gramEnd"/>
      <w:r w:rsidRPr="00D1290A">
        <w:rPr>
          <w:sz w:val="20"/>
          <w:szCs w:val="20"/>
        </w:rPr>
        <w:t xml:space="preserve">. </w:t>
      </w:r>
    </w:p>
    <w:p w14:paraId="4672966D" w14:textId="77777777" w:rsidR="00CE7581" w:rsidRPr="00D1290A" w:rsidRDefault="00CE7581" w:rsidP="00CE7581">
      <w:pPr>
        <w:jc w:val="both"/>
        <w:rPr>
          <w:rFonts w:eastAsiaTheme="minorHAnsi"/>
          <w:sz w:val="20"/>
          <w:szCs w:val="20"/>
        </w:rPr>
      </w:pPr>
    </w:p>
    <w:p w14:paraId="3501B95A" w14:textId="66D9880B" w:rsidR="00CE7581" w:rsidRPr="00D1290A" w:rsidRDefault="00CE7581" w:rsidP="00CE7581">
      <w:pPr>
        <w:rPr>
          <w:sz w:val="20"/>
          <w:szCs w:val="20"/>
        </w:rPr>
      </w:pPr>
      <w:r w:rsidRPr="00D1290A">
        <w:rPr>
          <w:sz w:val="20"/>
          <w:szCs w:val="20"/>
        </w:rPr>
        <w:t xml:space="preserve">Crown </w:t>
      </w:r>
      <w:r w:rsidR="000967AB">
        <w:rPr>
          <w:sz w:val="20"/>
          <w:szCs w:val="20"/>
        </w:rPr>
        <w:t>C</w:t>
      </w:r>
      <w:r w:rsidR="00CE6B64">
        <w:rPr>
          <w:sz w:val="20"/>
          <w:szCs w:val="20"/>
        </w:rPr>
        <w:t>op</w:t>
      </w:r>
      <w:r w:rsidRPr="00D1290A">
        <w:rPr>
          <w:sz w:val="20"/>
          <w:szCs w:val="20"/>
        </w:rPr>
        <w:t xml:space="preserve">yright material </w:t>
      </w:r>
      <w:proofErr w:type="gramStart"/>
      <w:r w:rsidRPr="00D1290A">
        <w:rPr>
          <w:sz w:val="20"/>
          <w:szCs w:val="20"/>
        </w:rPr>
        <w:t>is reproduced</w:t>
      </w:r>
      <w:proofErr w:type="gramEnd"/>
      <w:r w:rsidRPr="00D1290A">
        <w:rPr>
          <w:sz w:val="20"/>
          <w:szCs w:val="20"/>
        </w:rPr>
        <w:t xml:space="preserve"> with the permission of the Controller of Her Majesty’s Stationery Office.</w:t>
      </w:r>
    </w:p>
    <w:p w14:paraId="1E307ECD" w14:textId="77777777" w:rsidR="00CE7581" w:rsidRPr="00D1290A" w:rsidRDefault="00CE7581" w:rsidP="00CE7581">
      <w:pPr>
        <w:rPr>
          <w:sz w:val="20"/>
          <w:szCs w:val="20"/>
        </w:rPr>
      </w:pPr>
    </w:p>
    <w:p w14:paraId="457D2E6D" w14:textId="3459F05B" w:rsidR="00CE7581" w:rsidRPr="00D1290A" w:rsidRDefault="000967AB" w:rsidP="00CE7581">
      <w:pPr>
        <w:rPr>
          <w:sz w:val="20"/>
          <w:szCs w:val="20"/>
        </w:rPr>
      </w:pPr>
      <w:r>
        <w:rPr>
          <w:sz w:val="20"/>
          <w:szCs w:val="20"/>
        </w:rPr>
        <w:t>C</w:t>
      </w:r>
      <w:r w:rsidR="00CE6B64">
        <w:rPr>
          <w:sz w:val="20"/>
          <w:szCs w:val="20"/>
        </w:rPr>
        <w:t>op</w:t>
      </w:r>
      <w:r w:rsidR="00CE7581" w:rsidRPr="00D1290A">
        <w:rPr>
          <w:sz w:val="20"/>
          <w:szCs w:val="20"/>
        </w:rPr>
        <w:t xml:space="preserve">yright © </w:t>
      </w:r>
      <w:r w:rsidR="00CE7581" w:rsidRPr="00D1290A">
        <w:rPr>
          <w:sz w:val="20"/>
          <w:szCs w:val="20"/>
        </w:rPr>
        <w:fldChar w:fldCharType="begin"/>
      </w:r>
      <w:r w:rsidR="00CE7581" w:rsidRPr="00D1290A">
        <w:rPr>
          <w:sz w:val="20"/>
          <w:szCs w:val="20"/>
        </w:rPr>
        <w:instrText xml:space="preserve"> DATE  \@ "yyyy" </w:instrText>
      </w:r>
      <w:r w:rsidR="00CE7581" w:rsidRPr="00D1290A">
        <w:rPr>
          <w:sz w:val="20"/>
          <w:szCs w:val="20"/>
        </w:rPr>
        <w:fldChar w:fldCharType="separate"/>
      </w:r>
      <w:r w:rsidR="008D19A3">
        <w:rPr>
          <w:noProof/>
          <w:sz w:val="20"/>
          <w:szCs w:val="20"/>
        </w:rPr>
        <w:t>2023</w:t>
      </w:r>
      <w:r w:rsidR="00CE7581" w:rsidRPr="00D1290A">
        <w:rPr>
          <w:sz w:val="20"/>
          <w:szCs w:val="20"/>
        </w:rPr>
        <w:fldChar w:fldCharType="end"/>
      </w:r>
      <w:r w:rsidR="00CE7581" w:rsidRPr="00D1290A">
        <w:rPr>
          <w:sz w:val="20"/>
          <w:szCs w:val="20"/>
        </w:rPr>
        <w:t xml:space="preserve"> The UK Offshore Energies Association Limited trading as OEUK</w:t>
      </w:r>
    </w:p>
    <w:p w14:paraId="6E6AEF06" w14:textId="77777777" w:rsidR="00CE7581" w:rsidRPr="00D1290A" w:rsidRDefault="00CE7581" w:rsidP="00CE7581">
      <w:pPr>
        <w:rPr>
          <w:sz w:val="20"/>
          <w:szCs w:val="20"/>
        </w:rPr>
      </w:pPr>
    </w:p>
    <w:p w14:paraId="1760BACF" w14:textId="77777777" w:rsidR="00CE7581" w:rsidRPr="00D1290A" w:rsidRDefault="00CE7581" w:rsidP="00CE7581">
      <w:pPr>
        <w:widowControl/>
        <w:autoSpaceDE/>
        <w:autoSpaceDN/>
        <w:jc w:val="both"/>
        <w:rPr>
          <w:rFonts w:eastAsiaTheme="minorHAnsi"/>
          <w:color w:val="000000" w:themeColor="text1"/>
          <w:sz w:val="20"/>
          <w:szCs w:val="20"/>
          <w:lang w:val="en-GB"/>
        </w:rPr>
      </w:pPr>
      <w:r w:rsidRPr="00D1290A">
        <w:rPr>
          <w:rFonts w:eastAsiaTheme="minorHAnsi"/>
          <w:color w:val="000000" w:themeColor="text1"/>
          <w:sz w:val="20"/>
          <w:szCs w:val="20"/>
          <w:lang w:val="en-GB"/>
        </w:rPr>
        <w:t>PUBLISHED BY OEUK</w:t>
      </w:r>
    </w:p>
    <w:p w14:paraId="74EB53F7" w14:textId="77777777" w:rsidR="00CE7581" w:rsidRPr="00D1290A" w:rsidRDefault="00CE7581" w:rsidP="00CE7581">
      <w:pPr>
        <w:keepNext/>
        <w:widowControl/>
        <w:autoSpaceDE/>
        <w:autoSpaceDN/>
        <w:spacing w:before="180" w:after="120"/>
        <w:jc w:val="both"/>
        <w:rPr>
          <w:rFonts w:eastAsiaTheme="minorEastAsia"/>
          <w:color w:val="000000" w:themeColor="text1"/>
          <w:sz w:val="20"/>
          <w:szCs w:val="20"/>
          <w:lang w:val="en-GB" w:eastAsia="zh-CN"/>
        </w:rPr>
      </w:pPr>
      <w:r w:rsidRPr="00D1290A">
        <w:rPr>
          <w:rFonts w:eastAsiaTheme="minorEastAsia"/>
          <w:color w:val="000000" w:themeColor="text1"/>
          <w:sz w:val="20"/>
          <w:szCs w:val="20"/>
          <w:lang w:val="en-GB" w:eastAsia="zh-CN"/>
        </w:rPr>
        <w:t>London Office:</w:t>
      </w:r>
    </w:p>
    <w:p w14:paraId="0301107D" w14:textId="77777777" w:rsidR="00CE7581" w:rsidRPr="00D1290A" w:rsidRDefault="00CE7581" w:rsidP="00CE7581">
      <w:pPr>
        <w:widowControl/>
        <w:autoSpaceDE/>
        <w:autoSpaceDN/>
        <w:jc w:val="both"/>
        <w:rPr>
          <w:rFonts w:eastAsiaTheme="minorHAnsi"/>
          <w:color w:val="000000" w:themeColor="text1"/>
          <w:sz w:val="20"/>
          <w:szCs w:val="20"/>
          <w:lang w:val="en-GB"/>
        </w:rPr>
      </w:pPr>
      <w:r w:rsidRPr="00D1290A">
        <w:rPr>
          <w:rFonts w:eastAsiaTheme="minorHAnsi"/>
          <w:color w:val="000000" w:themeColor="text1"/>
          <w:sz w:val="20"/>
          <w:szCs w:val="20"/>
          <w:lang w:val="en-GB"/>
        </w:rPr>
        <w:t>OEUK, 1</w:t>
      </w:r>
      <w:r w:rsidRPr="00D1290A">
        <w:rPr>
          <w:rFonts w:eastAsiaTheme="minorHAnsi"/>
          <w:color w:val="000000" w:themeColor="text1"/>
          <w:sz w:val="20"/>
          <w:szCs w:val="20"/>
          <w:vertAlign w:val="superscript"/>
          <w:lang w:val="en-GB"/>
        </w:rPr>
        <w:t>st</w:t>
      </w:r>
      <w:r w:rsidRPr="00D1290A">
        <w:rPr>
          <w:rFonts w:eastAsiaTheme="minorHAnsi"/>
          <w:color w:val="000000" w:themeColor="text1"/>
          <w:sz w:val="20"/>
          <w:szCs w:val="20"/>
          <w:lang w:val="en-GB"/>
        </w:rPr>
        <w:t xml:space="preserve"> Floor, Paternoster House, 65 St Paul’s Churchyard, London, EC4M 8AB</w:t>
      </w:r>
    </w:p>
    <w:p w14:paraId="5AE2324C" w14:textId="77777777" w:rsidR="00CE7581" w:rsidRPr="00D1290A" w:rsidRDefault="00CE7581" w:rsidP="00CE7581">
      <w:pPr>
        <w:widowControl/>
        <w:autoSpaceDE/>
        <w:autoSpaceDN/>
        <w:jc w:val="both"/>
        <w:rPr>
          <w:rFonts w:eastAsiaTheme="minorHAnsi"/>
          <w:color w:val="000000" w:themeColor="text1"/>
          <w:sz w:val="20"/>
          <w:szCs w:val="20"/>
          <w:lang w:val="en-GB"/>
        </w:rPr>
      </w:pPr>
      <w:r w:rsidRPr="00D1290A">
        <w:rPr>
          <w:rFonts w:eastAsiaTheme="minorHAnsi"/>
          <w:color w:val="000000" w:themeColor="text1"/>
          <w:sz w:val="20"/>
          <w:szCs w:val="20"/>
          <w:lang w:val="en-GB"/>
        </w:rPr>
        <w:t>Tel: 020 7802 2400</w:t>
      </w:r>
    </w:p>
    <w:p w14:paraId="32B071DE" w14:textId="77777777" w:rsidR="00CE7581" w:rsidRPr="00D1290A" w:rsidRDefault="00CE7581" w:rsidP="00CE7581">
      <w:pPr>
        <w:keepNext/>
        <w:widowControl/>
        <w:autoSpaceDE/>
        <w:autoSpaceDN/>
        <w:spacing w:before="180" w:after="120"/>
        <w:jc w:val="both"/>
        <w:rPr>
          <w:rFonts w:eastAsiaTheme="minorEastAsia"/>
          <w:color w:val="000000" w:themeColor="text1"/>
          <w:sz w:val="20"/>
          <w:szCs w:val="20"/>
          <w:lang w:val="en-GB" w:eastAsia="zh-CN"/>
        </w:rPr>
      </w:pPr>
      <w:r w:rsidRPr="00D1290A">
        <w:rPr>
          <w:rFonts w:eastAsiaTheme="minorEastAsia"/>
          <w:color w:val="000000" w:themeColor="text1"/>
          <w:sz w:val="20"/>
          <w:szCs w:val="20"/>
          <w:lang w:val="en-GB" w:eastAsia="zh-CN"/>
        </w:rPr>
        <w:t>Aberdeen Office:</w:t>
      </w:r>
    </w:p>
    <w:p w14:paraId="360D1D7A" w14:textId="77777777" w:rsidR="00CE7581" w:rsidRPr="00D1290A" w:rsidRDefault="00CE7581" w:rsidP="00CE7581">
      <w:pPr>
        <w:widowControl/>
        <w:autoSpaceDE/>
        <w:autoSpaceDN/>
        <w:jc w:val="both"/>
        <w:rPr>
          <w:rFonts w:eastAsiaTheme="minorHAnsi"/>
          <w:color w:val="000000" w:themeColor="text1"/>
          <w:sz w:val="20"/>
          <w:szCs w:val="20"/>
          <w:lang w:val="en-GB"/>
        </w:rPr>
      </w:pPr>
      <w:r w:rsidRPr="00D1290A">
        <w:rPr>
          <w:rFonts w:eastAsiaTheme="minorHAnsi"/>
          <w:color w:val="000000" w:themeColor="text1"/>
          <w:sz w:val="20"/>
          <w:szCs w:val="20"/>
          <w:lang w:val="en-GB"/>
        </w:rPr>
        <w:t>4</w:t>
      </w:r>
      <w:r w:rsidRPr="00D1290A">
        <w:rPr>
          <w:rFonts w:eastAsiaTheme="minorHAnsi"/>
          <w:color w:val="000000" w:themeColor="text1"/>
          <w:sz w:val="20"/>
          <w:szCs w:val="20"/>
          <w:vertAlign w:val="superscript"/>
          <w:lang w:val="en-GB"/>
        </w:rPr>
        <w:t>th</w:t>
      </w:r>
      <w:r w:rsidRPr="00D1290A">
        <w:rPr>
          <w:rFonts w:eastAsiaTheme="minorHAnsi"/>
          <w:color w:val="000000" w:themeColor="text1"/>
          <w:sz w:val="20"/>
          <w:szCs w:val="20"/>
          <w:lang w:val="en-GB"/>
        </w:rPr>
        <w:t xml:space="preserve"> Floor, Annan House, 33-35 Palmerston Road, Aberdeen, AB11 5QP</w:t>
      </w:r>
    </w:p>
    <w:p w14:paraId="3030A444" w14:textId="77777777" w:rsidR="00CE7581" w:rsidRPr="00D1290A" w:rsidRDefault="00CE7581" w:rsidP="00CE7581">
      <w:pPr>
        <w:widowControl/>
        <w:autoSpaceDE/>
        <w:autoSpaceDN/>
        <w:jc w:val="both"/>
        <w:rPr>
          <w:rFonts w:eastAsiaTheme="minorHAnsi"/>
          <w:color w:val="000000" w:themeColor="text1"/>
          <w:sz w:val="20"/>
          <w:szCs w:val="20"/>
          <w:lang w:val="en-GB"/>
        </w:rPr>
      </w:pPr>
      <w:r w:rsidRPr="00D1290A">
        <w:rPr>
          <w:rFonts w:eastAsiaTheme="minorHAnsi"/>
          <w:color w:val="000000" w:themeColor="text1"/>
          <w:sz w:val="20"/>
          <w:szCs w:val="20"/>
          <w:lang w:val="en-GB"/>
        </w:rPr>
        <w:t xml:space="preserve">Tel: 01224 577250 </w:t>
      </w:r>
    </w:p>
    <w:p w14:paraId="551AA177" w14:textId="77777777" w:rsidR="00CE7581" w:rsidRPr="00D1290A" w:rsidRDefault="00CE7581" w:rsidP="00CE7581">
      <w:pPr>
        <w:widowControl/>
        <w:autoSpaceDE/>
        <w:autoSpaceDN/>
        <w:jc w:val="both"/>
        <w:rPr>
          <w:rFonts w:eastAsiaTheme="minorHAnsi"/>
          <w:color w:val="000000" w:themeColor="text1"/>
          <w:sz w:val="20"/>
          <w:szCs w:val="20"/>
          <w:lang w:val="en-GB"/>
        </w:rPr>
      </w:pPr>
    </w:p>
    <w:p w14:paraId="79B1271F" w14:textId="77777777" w:rsidR="00CE7581" w:rsidRPr="00D1290A" w:rsidRDefault="00CE7581" w:rsidP="00CE7581">
      <w:pPr>
        <w:rPr>
          <w:sz w:val="20"/>
          <w:szCs w:val="20"/>
        </w:rPr>
      </w:pPr>
      <w:r w:rsidRPr="00D1290A">
        <w:rPr>
          <w:sz w:val="20"/>
          <w:szCs w:val="20"/>
        </w:rPr>
        <w:t>info@oeuk.org.uk</w:t>
      </w:r>
    </w:p>
    <w:p w14:paraId="1C36C8C0" w14:textId="77777777" w:rsidR="00CE7581" w:rsidRPr="00D1290A" w:rsidRDefault="008D19A3" w:rsidP="00CE7581">
      <w:pPr>
        <w:widowControl/>
        <w:autoSpaceDE/>
        <w:autoSpaceDN/>
        <w:jc w:val="both"/>
        <w:rPr>
          <w:rFonts w:asciiTheme="minorHAnsi" w:eastAsiaTheme="minorHAnsi" w:hAnsiTheme="minorHAnsi"/>
          <w:color w:val="000000" w:themeColor="text1"/>
          <w:lang w:val="en-GB"/>
        </w:rPr>
      </w:pPr>
      <w:hyperlink r:id="rId7" w:history="1">
        <w:r w:rsidR="00CE7581" w:rsidRPr="00D1290A">
          <w:rPr>
            <w:rFonts w:asciiTheme="minorHAnsi" w:eastAsiaTheme="minorHAnsi" w:hAnsiTheme="minorHAnsi"/>
            <w:color w:val="0000FF" w:themeColor="hyperlink"/>
            <w:u w:val="single"/>
            <w:lang w:val="en-GB"/>
          </w:rPr>
          <w:t>www.oeuk.org.uk</w:t>
        </w:r>
      </w:hyperlink>
    </w:p>
    <w:p w14:paraId="49BC2438" w14:textId="77777777" w:rsidR="007B30A9" w:rsidRPr="00CE7581" w:rsidRDefault="007B30A9" w:rsidP="000831B9">
      <w:pPr>
        <w:pStyle w:val="BodyText"/>
        <w:rPr>
          <w:color w:val="FF0000"/>
          <w:sz w:val="16"/>
          <w:lang w:val="en-GB"/>
        </w:rPr>
      </w:pPr>
    </w:p>
    <w:p w14:paraId="51C643B9" w14:textId="77777777" w:rsidR="007B30A9" w:rsidRDefault="007B30A9" w:rsidP="000831B9">
      <w:pPr>
        <w:pStyle w:val="BodyText"/>
        <w:rPr>
          <w:color w:val="FF0000"/>
          <w:sz w:val="16"/>
        </w:rPr>
      </w:pPr>
    </w:p>
    <w:p w14:paraId="3E20DFB5" w14:textId="77777777" w:rsidR="007B30A9" w:rsidRDefault="007B30A9" w:rsidP="000831B9">
      <w:pPr>
        <w:pStyle w:val="BodyText"/>
        <w:rPr>
          <w:color w:val="FF0000"/>
          <w:sz w:val="16"/>
        </w:rPr>
      </w:pPr>
    </w:p>
    <w:p w14:paraId="0E32F1E2" w14:textId="77777777" w:rsidR="006604AD" w:rsidRDefault="006604AD" w:rsidP="006604AD">
      <w:pPr>
        <w:pStyle w:val="BodyText"/>
        <w:jc w:val="both"/>
        <w:rPr>
          <w:sz w:val="20"/>
          <w:szCs w:val="20"/>
        </w:rPr>
      </w:pPr>
    </w:p>
    <w:p w14:paraId="5A318975" w14:textId="77777777" w:rsidR="007B30A9" w:rsidRDefault="007B30A9" w:rsidP="000831B9">
      <w:pPr>
        <w:pStyle w:val="BodyText"/>
        <w:rPr>
          <w:color w:val="FF0000"/>
          <w:sz w:val="16"/>
        </w:rPr>
      </w:pPr>
    </w:p>
    <w:p w14:paraId="39732339" w14:textId="77777777" w:rsidR="007D61A1" w:rsidRDefault="007D61A1">
      <w:pPr>
        <w:jc w:val="both"/>
        <w:sectPr w:rsidR="007D61A1">
          <w:headerReference w:type="default" r:id="rId8"/>
          <w:footerReference w:type="default" r:id="rId9"/>
          <w:footerReference w:type="first" r:id="rId10"/>
          <w:type w:val="continuous"/>
          <w:pgSz w:w="11910" w:h="16840"/>
          <w:pgMar w:top="1620" w:right="980" w:bottom="1160" w:left="700" w:header="605" w:footer="963" w:gutter="0"/>
          <w:pgNumType w:start="1"/>
          <w:cols w:space="720"/>
        </w:sectPr>
      </w:pPr>
    </w:p>
    <w:p w14:paraId="111B13C2" w14:textId="77777777" w:rsidR="009A0C59" w:rsidRDefault="009A0C59" w:rsidP="00DC2A5C"/>
    <w:p w14:paraId="56D1A8FB" w14:textId="77777777" w:rsidR="009A0C59" w:rsidRPr="009A0C59" w:rsidRDefault="009A0C59" w:rsidP="009A0C59">
      <w:pPr>
        <w:tabs>
          <w:tab w:val="left" w:pos="9121"/>
        </w:tabs>
        <w:spacing w:before="94"/>
        <w:rPr>
          <w:sz w:val="20"/>
          <w:szCs w:val="20"/>
        </w:rPr>
      </w:pPr>
      <w:r w:rsidRPr="009A0C59">
        <w:rPr>
          <w:b/>
        </w:rPr>
        <w:t>Contents</w:t>
      </w:r>
      <w:r w:rsidRPr="009A0C59">
        <w:rPr>
          <w:sz w:val="20"/>
          <w:szCs w:val="20"/>
        </w:rPr>
        <w:tab/>
      </w:r>
      <w:r w:rsidR="005B3BFE">
        <w:rPr>
          <w:sz w:val="20"/>
          <w:szCs w:val="20"/>
        </w:rPr>
        <w:t xml:space="preserve"> </w:t>
      </w:r>
      <w:r w:rsidRPr="009A0C59">
        <w:rPr>
          <w:b/>
        </w:rPr>
        <w:t>Page</w:t>
      </w:r>
    </w:p>
    <w:p w14:paraId="444C852B" w14:textId="77777777" w:rsidR="009A0C59" w:rsidRPr="009A0C59" w:rsidRDefault="009A0C59" w:rsidP="009A0C59">
      <w:pPr>
        <w:tabs>
          <w:tab w:val="left" w:pos="9121"/>
        </w:tabs>
        <w:spacing w:before="94"/>
        <w:rPr>
          <w:sz w:val="20"/>
          <w:szCs w:val="20"/>
        </w:rPr>
      </w:pPr>
    </w:p>
    <w:p w14:paraId="469D903F" w14:textId="51A1D16D" w:rsidR="009A0C59" w:rsidRPr="009A0C59" w:rsidRDefault="009A0C59" w:rsidP="009A0C59">
      <w:pPr>
        <w:numPr>
          <w:ilvl w:val="0"/>
          <w:numId w:val="19"/>
        </w:numPr>
        <w:tabs>
          <w:tab w:val="left" w:pos="9121"/>
        </w:tabs>
        <w:spacing w:before="94"/>
        <w:rPr>
          <w:sz w:val="20"/>
          <w:szCs w:val="20"/>
        </w:rPr>
      </w:pPr>
      <w:r w:rsidRPr="009A0C59">
        <w:rPr>
          <w:sz w:val="20"/>
          <w:szCs w:val="20"/>
        </w:rPr>
        <w:t>Introduction</w:t>
      </w:r>
      <w:r w:rsidRPr="009A0C59">
        <w:rPr>
          <w:sz w:val="20"/>
          <w:szCs w:val="20"/>
        </w:rPr>
        <w:tab/>
        <w:t xml:space="preserve">   </w:t>
      </w:r>
      <w:r w:rsidR="005B3BFE">
        <w:rPr>
          <w:sz w:val="20"/>
          <w:szCs w:val="20"/>
        </w:rPr>
        <w:t xml:space="preserve"> </w:t>
      </w:r>
      <w:proofErr w:type="gramStart"/>
      <w:r w:rsidR="00C2163D">
        <w:rPr>
          <w:sz w:val="20"/>
          <w:szCs w:val="20"/>
        </w:rPr>
        <w:t>2</w:t>
      </w:r>
      <w:proofErr w:type="gramEnd"/>
    </w:p>
    <w:p w14:paraId="25B3A19F" w14:textId="483F8408" w:rsidR="009A0C59" w:rsidRPr="009A0C59" w:rsidRDefault="009A0C59" w:rsidP="009A0C59">
      <w:pPr>
        <w:numPr>
          <w:ilvl w:val="0"/>
          <w:numId w:val="19"/>
        </w:numPr>
        <w:tabs>
          <w:tab w:val="left" w:pos="9121"/>
        </w:tabs>
        <w:spacing w:before="94"/>
        <w:rPr>
          <w:sz w:val="20"/>
          <w:szCs w:val="20"/>
        </w:rPr>
      </w:pPr>
      <w:r>
        <w:rPr>
          <w:sz w:val="20"/>
          <w:szCs w:val="20"/>
        </w:rPr>
        <w:t xml:space="preserve">Definition of </w:t>
      </w:r>
      <w:r w:rsidR="00DC59B8">
        <w:rPr>
          <w:sz w:val="20"/>
          <w:szCs w:val="20"/>
        </w:rPr>
        <w:t xml:space="preserve">Decommissioning </w:t>
      </w:r>
      <w:r>
        <w:rPr>
          <w:sz w:val="20"/>
          <w:szCs w:val="20"/>
        </w:rPr>
        <w:t>Costs</w:t>
      </w:r>
      <w:r w:rsidRPr="009A0C59">
        <w:rPr>
          <w:sz w:val="20"/>
          <w:szCs w:val="20"/>
        </w:rPr>
        <w:tab/>
        <w:t xml:space="preserve">   </w:t>
      </w:r>
      <w:r w:rsidR="005B3BFE">
        <w:rPr>
          <w:sz w:val="20"/>
          <w:szCs w:val="20"/>
        </w:rPr>
        <w:t xml:space="preserve"> </w:t>
      </w:r>
      <w:r w:rsidR="00C2163D">
        <w:rPr>
          <w:sz w:val="20"/>
          <w:szCs w:val="20"/>
        </w:rPr>
        <w:t>2</w:t>
      </w:r>
    </w:p>
    <w:p w14:paraId="774C1757" w14:textId="47B902D8" w:rsidR="009A0C59" w:rsidRDefault="009A0C59" w:rsidP="009A0C59">
      <w:pPr>
        <w:numPr>
          <w:ilvl w:val="0"/>
          <w:numId w:val="19"/>
        </w:numPr>
        <w:tabs>
          <w:tab w:val="left" w:pos="9121"/>
        </w:tabs>
        <w:spacing w:before="94"/>
        <w:rPr>
          <w:sz w:val="20"/>
          <w:szCs w:val="20"/>
        </w:rPr>
      </w:pPr>
      <w:r>
        <w:rPr>
          <w:sz w:val="20"/>
          <w:szCs w:val="20"/>
        </w:rPr>
        <w:t>Cost Estimation</w:t>
      </w:r>
      <w:r w:rsidRPr="009A0C59">
        <w:rPr>
          <w:sz w:val="20"/>
          <w:szCs w:val="20"/>
        </w:rPr>
        <w:tab/>
      </w:r>
      <w:r w:rsidR="002860E8">
        <w:rPr>
          <w:sz w:val="20"/>
          <w:szCs w:val="20"/>
        </w:rPr>
        <w:t xml:space="preserve">   </w:t>
      </w:r>
      <w:r w:rsidR="005B3BFE">
        <w:rPr>
          <w:sz w:val="20"/>
          <w:szCs w:val="20"/>
        </w:rPr>
        <w:t xml:space="preserve"> </w:t>
      </w:r>
      <w:r w:rsidR="00C2163D">
        <w:rPr>
          <w:sz w:val="20"/>
          <w:szCs w:val="20"/>
        </w:rPr>
        <w:t>3</w:t>
      </w:r>
    </w:p>
    <w:p w14:paraId="3D2868DB" w14:textId="1FAEED71" w:rsidR="00F25EE4" w:rsidRPr="009A0C59" w:rsidRDefault="00F25EE4" w:rsidP="009A0C59">
      <w:pPr>
        <w:numPr>
          <w:ilvl w:val="0"/>
          <w:numId w:val="19"/>
        </w:numPr>
        <w:tabs>
          <w:tab w:val="left" w:pos="9121"/>
        </w:tabs>
        <w:spacing w:before="94"/>
        <w:rPr>
          <w:sz w:val="20"/>
          <w:szCs w:val="20"/>
        </w:rPr>
      </w:pPr>
      <w:r>
        <w:rPr>
          <w:sz w:val="20"/>
          <w:szCs w:val="20"/>
        </w:rPr>
        <w:t>Audit</w:t>
      </w:r>
      <w:r>
        <w:rPr>
          <w:sz w:val="20"/>
          <w:szCs w:val="20"/>
        </w:rPr>
        <w:tab/>
      </w:r>
      <w:r w:rsidR="00CF247D">
        <w:rPr>
          <w:sz w:val="20"/>
          <w:szCs w:val="20"/>
        </w:rPr>
        <w:t xml:space="preserve">    </w:t>
      </w:r>
      <w:proofErr w:type="gramStart"/>
      <w:r w:rsidR="000F6B5F">
        <w:rPr>
          <w:sz w:val="20"/>
          <w:szCs w:val="20"/>
        </w:rPr>
        <w:t>5</w:t>
      </w:r>
      <w:proofErr w:type="gramEnd"/>
    </w:p>
    <w:p w14:paraId="524B63F6" w14:textId="14D7BAC8" w:rsidR="009A0C59" w:rsidRPr="009A0C59" w:rsidRDefault="009A0C59" w:rsidP="009A0C59">
      <w:pPr>
        <w:numPr>
          <w:ilvl w:val="0"/>
          <w:numId w:val="19"/>
        </w:numPr>
        <w:tabs>
          <w:tab w:val="left" w:pos="9121"/>
        </w:tabs>
        <w:spacing w:before="94"/>
        <w:rPr>
          <w:sz w:val="20"/>
          <w:szCs w:val="20"/>
        </w:rPr>
      </w:pPr>
      <w:r>
        <w:rPr>
          <w:sz w:val="20"/>
          <w:szCs w:val="20"/>
        </w:rPr>
        <w:t>Standards and Frequency of Estimation</w:t>
      </w:r>
      <w:r w:rsidRPr="009A0C59">
        <w:rPr>
          <w:sz w:val="20"/>
          <w:szCs w:val="20"/>
        </w:rPr>
        <w:tab/>
      </w:r>
      <w:r w:rsidR="002860E8">
        <w:rPr>
          <w:sz w:val="20"/>
          <w:szCs w:val="20"/>
        </w:rPr>
        <w:t xml:space="preserve">  </w:t>
      </w:r>
      <w:r w:rsidR="005B3BFE">
        <w:rPr>
          <w:sz w:val="20"/>
          <w:szCs w:val="20"/>
        </w:rPr>
        <w:t xml:space="preserve"> </w:t>
      </w:r>
      <w:r w:rsidR="002860E8">
        <w:rPr>
          <w:sz w:val="20"/>
          <w:szCs w:val="20"/>
        </w:rPr>
        <w:t xml:space="preserve"> </w:t>
      </w:r>
      <w:r w:rsidR="00C2163D">
        <w:rPr>
          <w:sz w:val="20"/>
          <w:szCs w:val="20"/>
        </w:rPr>
        <w:t>5</w:t>
      </w:r>
    </w:p>
    <w:p w14:paraId="3146BC5E" w14:textId="36A251F7" w:rsidR="009A0C59" w:rsidRPr="009A0C59" w:rsidRDefault="009A0C59" w:rsidP="009A0C59">
      <w:pPr>
        <w:numPr>
          <w:ilvl w:val="0"/>
          <w:numId w:val="19"/>
        </w:numPr>
        <w:tabs>
          <w:tab w:val="left" w:pos="9121"/>
        </w:tabs>
        <w:spacing w:before="94"/>
        <w:rPr>
          <w:sz w:val="20"/>
          <w:szCs w:val="20"/>
        </w:rPr>
      </w:pPr>
      <w:r>
        <w:rPr>
          <w:sz w:val="20"/>
          <w:szCs w:val="20"/>
        </w:rPr>
        <w:t>Recommended Cost Classification</w:t>
      </w:r>
      <w:r w:rsidRPr="009A0C59">
        <w:rPr>
          <w:sz w:val="20"/>
          <w:szCs w:val="20"/>
        </w:rPr>
        <w:tab/>
        <w:t xml:space="preserve">  </w:t>
      </w:r>
      <w:r w:rsidR="005B3BFE">
        <w:rPr>
          <w:sz w:val="20"/>
          <w:szCs w:val="20"/>
        </w:rPr>
        <w:t xml:space="preserve"> </w:t>
      </w:r>
      <w:r w:rsidRPr="009A0C59">
        <w:rPr>
          <w:sz w:val="20"/>
          <w:szCs w:val="20"/>
        </w:rPr>
        <w:t xml:space="preserve"> </w:t>
      </w:r>
      <w:r w:rsidR="000F6B5F">
        <w:rPr>
          <w:sz w:val="20"/>
          <w:szCs w:val="20"/>
        </w:rPr>
        <w:t>6</w:t>
      </w:r>
    </w:p>
    <w:p w14:paraId="01B5407D" w14:textId="0C2F3B36" w:rsidR="009A0C59" w:rsidRDefault="002860E8" w:rsidP="009A0C59">
      <w:pPr>
        <w:numPr>
          <w:ilvl w:val="0"/>
          <w:numId w:val="19"/>
        </w:numPr>
        <w:tabs>
          <w:tab w:val="left" w:pos="9121"/>
        </w:tabs>
        <w:spacing w:before="94"/>
        <w:rPr>
          <w:sz w:val="20"/>
          <w:szCs w:val="20"/>
        </w:rPr>
      </w:pPr>
      <w:r>
        <w:rPr>
          <w:sz w:val="20"/>
          <w:szCs w:val="20"/>
        </w:rPr>
        <w:t>Model Billing</w:t>
      </w:r>
      <w:r w:rsidR="009A0C59" w:rsidRPr="009A0C59">
        <w:rPr>
          <w:sz w:val="20"/>
          <w:szCs w:val="20"/>
        </w:rPr>
        <w:tab/>
      </w:r>
      <w:r>
        <w:rPr>
          <w:sz w:val="20"/>
          <w:szCs w:val="20"/>
        </w:rPr>
        <w:t xml:space="preserve">  </w:t>
      </w:r>
      <w:r w:rsidR="005B3BFE">
        <w:rPr>
          <w:sz w:val="20"/>
          <w:szCs w:val="20"/>
        </w:rPr>
        <w:t xml:space="preserve"> </w:t>
      </w:r>
      <w:r w:rsidR="00CF247D">
        <w:rPr>
          <w:sz w:val="20"/>
          <w:szCs w:val="20"/>
        </w:rPr>
        <w:t xml:space="preserve"> </w:t>
      </w:r>
      <w:r w:rsidR="000F6B5F">
        <w:rPr>
          <w:sz w:val="20"/>
          <w:szCs w:val="20"/>
        </w:rPr>
        <w:t>7</w:t>
      </w:r>
    </w:p>
    <w:p w14:paraId="05F782C5" w14:textId="77777777" w:rsidR="00C2163D" w:rsidRDefault="00C2163D" w:rsidP="00EE472F">
      <w:pPr>
        <w:tabs>
          <w:tab w:val="left" w:pos="9121"/>
        </w:tabs>
        <w:spacing w:before="94"/>
        <w:ind w:left="915"/>
        <w:rPr>
          <w:sz w:val="20"/>
          <w:szCs w:val="20"/>
        </w:rPr>
      </w:pPr>
    </w:p>
    <w:p w14:paraId="1EB301DF" w14:textId="21FA0FC5" w:rsidR="00CB0ADF" w:rsidRDefault="00CB0ADF" w:rsidP="00CB0ADF">
      <w:pPr>
        <w:tabs>
          <w:tab w:val="left" w:pos="9121"/>
        </w:tabs>
        <w:spacing w:before="94"/>
        <w:ind w:left="915"/>
        <w:rPr>
          <w:sz w:val="20"/>
          <w:szCs w:val="20"/>
        </w:rPr>
      </w:pPr>
      <w:r>
        <w:rPr>
          <w:sz w:val="20"/>
          <w:szCs w:val="20"/>
        </w:rPr>
        <w:t>References</w:t>
      </w:r>
      <w:r>
        <w:rPr>
          <w:sz w:val="20"/>
          <w:szCs w:val="20"/>
        </w:rPr>
        <w:tab/>
      </w:r>
      <w:r>
        <w:rPr>
          <w:sz w:val="20"/>
          <w:szCs w:val="20"/>
        </w:rPr>
        <w:tab/>
      </w:r>
      <w:proofErr w:type="gramStart"/>
      <w:r w:rsidR="00C2163D">
        <w:rPr>
          <w:sz w:val="20"/>
          <w:szCs w:val="20"/>
        </w:rPr>
        <w:t>7</w:t>
      </w:r>
      <w:proofErr w:type="gramEnd"/>
    </w:p>
    <w:p w14:paraId="288023C5" w14:textId="3C0FB377" w:rsidR="00C2163D" w:rsidRPr="009A0C59" w:rsidRDefault="00C2163D" w:rsidP="00EE472F">
      <w:pPr>
        <w:tabs>
          <w:tab w:val="left" w:pos="9121"/>
        </w:tabs>
        <w:spacing w:before="94"/>
        <w:ind w:left="915"/>
        <w:rPr>
          <w:sz w:val="20"/>
          <w:szCs w:val="20"/>
        </w:rPr>
      </w:pPr>
      <w:r>
        <w:rPr>
          <w:sz w:val="20"/>
          <w:szCs w:val="20"/>
        </w:rPr>
        <w:t>Document History</w:t>
      </w:r>
      <w:r>
        <w:rPr>
          <w:sz w:val="20"/>
          <w:szCs w:val="20"/>
        </w:rPr>
        <w:tab/>
      </w:r>
      <w:r>
        <w:rPr>
          <w:sz w:val="20"/>
          <w:szCs w:val="20"/>
        </w:rPr>
        <w:tab/>
        <w:t>7</w:t>
      </w:r>
    </w:p>
    <w:p w14:paraId="44FD082F" w14:textId="77777777" w:rsidR="007D61A1" w:rsidRDefault="007D61A1">
      <w:pPr>
        <w:pStyle w:val="BodyText"/>
        <w:spacing w:before="7"/>
        <w:rPr>
          <w:sz w:val="28"/>
        </w:rPr>
      </w:pPr>
    </w:p>
    <w:p w14:paraId="3A2FCC8A" w14:textId="77777777" w:rsidR="0056418C" w:rsidRDefault="0056418C">
      <w:pPr>
        <w:pStyle w:val="BodyText"/>
        <w:spacing w:before="7"/>
        <w:rPr>
          <w:sz w:val="28"/>
        </w:rPr>
      </w:pPr>
    </w:p>
    <w:p w14:paraId="56C69F53" w14:textId="77777777" w:rsidR="00F67DF3" w:rsidRDefault="00F67DF3">
      <w:pPr>
        <w:pStyle w:val="BodyText"/>
        <w:spacing w:before="7"/>
        <w:rPr>
          <w:sz w:val="28"/>
        </w:rPr>
        <w:sectPr w:rsidR="00F67DF3" w:rsidSect="007D524D">
          <w:footerReference w:type="default" r:id="rId11"/>
          <w:pgSz w:w="11910" w:h="16840"/>
          <w:pgMar w:top="1620" w:right="980" w:bottom="1160" w:left="700" w:header="605" w:footer="963" w:gutter="0"/>
          <w:pgNumType w:start="1"/>
          <w:cols w:space="720"/>
        </w:sectPr>
      </w:pPr>
    </w:p>
    <w:p w14:paraId="1CDB2126" w14:textId="77777777" w:rsidR="009A0C59" w:rsidRDefault="009A0C59">
      <w:pPr>
        <w:pStyle w:val="BodyText"/>
        <w:spacing w:before="7"/>
        <w:rPr>
          <w:sz w:val="28"/>
        </w:rPr>
      </w:pPr>
    </w:p>
    <w:p w14:paraId="1D937B29" w14:textId="77777777" w:rsidR="007D61A1" w:rsidRPr="005B4E3D" w:rsidRDefault="00EF285C" w:rsidP="005B3882">
      <w:pPr>
        <w:pStyle w:val="Heading1"/>
        <w:numPr>
          <w:ilvl w:val="0"/>
          <w:numId w:val="13"/>
        </w:numPr>
        <w:tabs>
          <w:tab w:val="left" w:pos="718"/>
        </w:tabs>
      </w:pPr>
      <w:bookmarkStart w:id="0" w:name="_TOC_250009"/>
      <w:bookmarkEnd w:id="0"/>
      <w:r w:rsidRPr="005B4E3D">
        <w:t>Introduction</w:t>
      </w:r>
    </w:p>
    <w:p w14:paraId="3DE88AE4" w14:textId="77777777" w:rsidR="00C9628C" w:rsidRDefault="00C9628C" w:rsidP="00C9628C">
      <w:pPr>
        <w:pStyle w:val="Heading1"/>
        <w:tabs>
          <w:tab w:val="left" w:pos="718"/>
        </w:tabs>
        <w:jc w:val="right"/>
        <w:rPr>
          <w:sz w:val="24"/>
        </w:rPr>
      </w:pPr>
    </w:p>
    <w:p w14:paraId="1D25331C" w14:textId="4F134F0B" w:rsidR="00C9628C" w:rsidRPr="00EE472F" w:rsidRDefault="00C9628C" w:rsidP="00EE472F">
      <w:pPr>
        <w:pStyle w:val="BodyText"/>
        <w:ind w:left="720"/>
        <w:rPr>
          <w:sz w:val="20"/>
          <w:szCs w:val="20"/>
        </w:rPr>
      </w:pPr>
      <w:r w:rsidRPr="00EE472F">
        <w:rPr>
          <w:sz w:val="20"/>
          <w:szCs w:val="20"/>
        </w:rPr>
        <w:t>This document provides guidance on recommended accounting practices to ensure the appropriate treatment of costs relating to decommissioning an oil and ga</w:t>
      </w:r>
      <w:r w:rsidR="006A113E" w:rsidRPr="00EE472F">
        <w:rPr>
          <w:sz w:val="20"/>
          <w:szCs w:val="20"/>
        </w:rPr>
        <w:t>s asset. These guidelines</w:t>
      </w:r>
      <w:r w:rsidRPr="00EE472F">
        <w:rPr>
          <w:sz w:val="20"/>
          <w:szCs w:val="20"/>
        </w:rPr>
        <w:t xml:space="preserve"> provide a methodology for standardising the decommissioning accounting records to be kept acros</w:t>
      </w:r>
      <w:r w:rsidR="006A113E" w:rsidRPr="00EE472F">
        <w:rPr>
          <w:sz w:val="20"/>
          <w:szCs w:val="20"/>
        </w:rPr>
        <w:t>s the United Kingdom</w:t>
      </w:r>
      <w:r w:rsidRPr="00EE472F">
        <w:rPr>
          <w:sz w:val="20"/>
          <w:szCs w:val="20"/>
        </w:rPr>
        <w:t xml:space="preserve"> Continental Shelf (UKCS)</w:t>
      </w:r>
      <w:proofErr w:type="gramStart"/>
      <w:r w:rsidR="00D72104" w:rsidRPr="00EE472F">
        <w:rPr>
          <w:sz w:val="20"/>
          <w:szCs w:val="20"/>
        </w:rPr>
        <w:t>.</w:t>
      </w:r>
      <w:r w:rsidR="005E4144" w:rsidRPr="00EE472F">
        <w:rPr>
          <w:sz w:val="20"/>
          <w:szCs w:val="20"/>
        </w:rPr>
        <w:t xml:space="preserve">  </w:t>
      </w:r>
      <w:proofErr w:type="gramEnd"/>
      <w:r w:rsidR="005E4144" w:rsidRPr="00EE472F">
        <w:rPr>
          <w:sz w:val="20"/>
          <w:szCs w:val="20"/>
        </w:rPr>
        <w:t xml:space="preserve">The UKCS presents a complex commercial landscape and this document </w:t>
      </w:r>
      <w:proofErr w:type="gramStart"/>
      <w:r w:rsidR="005E4144" w:rsidRPr="00EE472F">
        <w:rPr>
          <w:sz w:val="20"/>
          <w:szCs w:val="20"/>
        </w:rPr>
        <w:t>is intended</w:t>
      </w:r>
      <w:proofErr w:type="gramEnd"/>
      <w:r w:rsidR="005E4144" w:rsidRPr="00EE472F">
        <w:rPr>
          <w:sz w:val="20"/>
          <w:szCs w:val="20"/>
        </w:rPr>
        <w:t xml:space="preserve"> for guidance only.</w:t>
      </w:r>
    </w:p>
    <w:p w14:paraId="76A2FD60" w14:textId="77777777" w:rsidR="005E4144" w:rsidRPr="00EE472F" w:rsidRDefault="005E4144" w:rsidP="00EE472F">
      <w:pPr>
        <w:pStyle w:val="BodyText"/>
        <w:rPr>
          <w:sz w:val="20"/>
          <w:szCs w:val="20"/>
        </w:rPr>
      </w:pPr>
    </w:p>
    <w:p w14:paraId="37266A53" w14:textId="77777777" w:rsidR="00C9628C" w:rsidRPr="00EE472F" w:rsidRDefault="00C9628C" w:rsidP="00EE472F">
      <w:pPr>
        <w:pStyle w:val="BodyText"/>
        <w:rPr>
          <w:sz w:val="20"/>
          <w:szCs w:val="20"/>
        </w:rPr>
      </w:pPr>
    </w:p>
    <w:p w14:paraId="57C9D1FC" w14:textId="77777777" w:rsidR="00C9628C" w:rsidRPr="00EE472F" w:rsidRDefault="006A113E" w:rsidP="00EE472F">
      <w:pPr>
        <w:pStyle w:val="BodyText"/>
        <w:ind w:firstLine="720"/>
        <w:rPr>
          <w:sz w:val="20"/>
          <w:szCs w:val="20"/>
        </w:rPr>
      </w:pPr>
      <w:r w:rsidRPr="00EE472F">
        <w:rPr>
          <w:sz w:val="20"/>
          <w:szCs w:val="20"/>
        </w:rPr>
        <w:t>The recommendations are</w:t>
      </w:r>
      <w:r w:rsidR="005B3882" w:rsidRPr="00EE472F">
        <w:rPr>
          <w:sz w:val="20"/>
          <w:szCs w:val="20"/>
        </w:rPr>
        <w:t>:</w:t>
      </w:r>
    </w:p>
    <w:p w14:paraId="74899699" w14:textId="32CC4186" w:rsidR="00C9628C" w:rsidRPr="00EE472F" w:rsidRDefault="00C2163D" w:rsidP="00EE472F">
      <w:pPr>
        <w:pStyle w:val="BodyText"/>
        <w:rPr>
          <w:sz w:val="20"/>
          <w:szCs w:val="20"/>
        </w:rPr>
      </w:pPr>
      <w:r w:rsidRPr="00EE472F">
        <w:rPr>
          <w:b/>
          <w:sz w:val="20"/>
          <w:szCs w:val="20"/>
        </w:rPr>
        <w:tab/>
      </w:r>
    </w:p>
    <w:p w14:paraId="6C6431D1" w14:textId="78E2538A" w:rsidR="00C2163D" w:rsidRDefault="00027329" w:rsidP="00C2163D">
      <w:pPr>
        <w:pStyle w:val="BodyText"/>
        <w:numPr>
          <w:ilvl w:val="1"/>
          <w:numId w:val="28"/>
        </w:numPr>
        <w:rPr>
          <w:sz w:val="20"/>
          <w:szCs w:val="20"/>
        </w:rPr>
      </w:pPr>
      <w:r w:rsidRPr="00EE472F">
        <w:rPr>
          <w:sz w:val="20"/>
          <w:szCs w:val="20"/>
        </w:rPr>
        <w:t xml:space="preserve">Establishing best practice in the standards to be used in estimating the cost of future </w:t>
      </w:r>
      <w:proofErr w:type="gramStart"/>
      <w:r w:rsidRPr="00EE472F">
        <w:rPr>
          <w:sz w:val="20"/>
          <w:szCs w:val="20"/>
        </w:rPr>
        <w:t>decommissioning</w:t>
      </w:r>
      <w:proofErr w:type="gramEnd"/>
    </w:p>
    <w:p w14:paraId="1DABC9F3" w14:textId="77777777" w:rsidR="00C2163D" w:rsidRDefault="00C2163D" w:rsidP="00EE472F">
      <w:pPr>
        <w:pStyle w:val="BodyText"/>
        <w:ind w:left="1440"/>
        <w:rPr>
          <w:sz w:val="20"/>
          <w:szCs w:val="20"/>
        </w:rPr>
      </w:pPr>
    </w:p>
    <w:p w14:paraId="5D63548E" w14:textId="761FA21C" w:rsidR="006A113E" w:rsidRPr="00EE472F" w:rsidRDefault="00C2163D" w:rsidP="00EE472F">
      <w:pPr>
        <w:pStyle w:val="BodyText"/>
        <w:numPr>
          <w:ilvl w:val="1"/>
          <w:numId w:val="28"/>
        </w:numPr>
        <w:rPr>
          <w:sz w:val="20"/>
          <w:szCs w:val="20"/>
        </w:rPr>
      </w:pPr>
      <w:r>
        <w:rPr>
          <w:rStyle w:val="CommentReference"/>
          <w:sz w:val="20"/>
          <w:szCs w:val="20"/>
        </w:rPr>
        <w:t>D</w:t>
      </w:r>
      <w:r w:rsidR="006A113E" w:rsidRPr="00EE472F">
        <w:rPr>
          <w:sz w:val="20"/>
          <w:szCs w:val="20"/>
        </w:rPr>
        <w:t>efine</w:t>
      </w:r>
      <w:r w:rsidR="00C9628C" w:rsidRPr="00EE472F">
        <w:rPr>
          <w:sz w:val="20"/>
          <w:szCs w:val="20"/>
        </w:rPr>
        <w:t xml:space="preserve"> best practice for classifying when a cost becomes </w:t>
      </w:r>
      <w:proofErr w:type="gramStart"/>
      <w:r w:rsidR="00C9628C" w:rsidRPr="00EE472F">
        <w:rPr>
          <w:sz w:val="20"/>
          <w:szCs w:val="20"/>
        </w:rPr>
        <w:t>an</w:t>
      </w:r>
      <w:proofErr w:type="gramEnd"/>
      <w:r w:rsidR="00C9628C" w:rsidRPr="00EE472F">
        <w:rPr>
          <w:sz w:val="20"/>
          <w:szCs w:val="20"/>
        </w:rPr>
        <w:t xml:space="preserve"> </w:t>
      </w:r>
      <w:r w:rsidR="000F6B5F">
        <w:rPr>
          <w:sz w:val="20"/>
          <w:szCs w:val="20"/>
        </w:rPr>
        <w:t>d</w:t>
      </w:r>
      <w:r w:rsidR="00DC59B8">
        <w:rPr>
          <w:sz w:val="20"/>
          <w:szCs w:val="20"/>
        </w:rPr>
        <w:t>ecommissioning</w:t>
      </w:r>
      <w:r w:rsidR="00DC59B8" w:rsidRPr="00EE472F">
        <w:rPr>
          <w:sz w:val="20"/>
          <w:szCs w:val="20"/>
        </w:rPr>
        <w:t xml:space="preserve"> </w:t>
      </w:r>
      <w:r w:rsidR="00C9628C" w:rsidRPr="00EE472F">
        <w:rPr>
          <w:sz w:val="20"/>
          <w:szCs w:val="20"/>
        </w:rPr>
        <w:t>expe</w:t>
      </w:r>
      <w:r w:rsidR="006A113E" w:rsidRPr="00EE472F">
        <w:rPr>
          <w:sz w:val="20"/>
          <w:szCs w:val="20"/>
        </w:rPr>
        <w:t>nse (Abex) and billing practice</w:t>
      </w:r>
      <w:r w:rsidR="000E7218" w:rsidRPr="00EE472F">
        <w:rPr>
          <w:sz w:val="20"/>
          <w:szCs w:val="20"/>
        </w:rPr>
        <w:t xml:space="preserve"> for Abex costs</w:t>
      </w:r>
      <w:r w:rsidR="005B3882" w:rsidRPr="00EE472F">
        <w:rPr>
          <w:sz w:val="20"/>
          <w:szCs w:val="20"/>
        </w:rPr>
        <w:t>;</w:t>
      </w:r>
    </w:p>
    <w:p w14:paraId="46AFB7DB" w14:textId="77777777" w:rsidR="00FE4C33" w:rsidRDefault="00FE4C33" w:rsidP="00FE4C33">
      <w:pPr>
        <w:pStyle w:val="Heading1"/>
        <w:tabs>
          <w:tab w:val="left" w:pos="1134"/>
        </w:tabs>
        <w:ind w:left="1134"/>
        <w:rPr>
          <w:b w:val="0"/>
          <w:sz w:val="20"/>
          <w:szCs w:val="20"/>
        </w:rPr>
      </w:pPr>
    </w:p>
    <w:p w14:paraId="07DBA990" w14:textId="77777777" w:rsidR="007D61A1" w:rsidRPr="00E25D88" w:rsidRDefault="007D61A1" w:rsidP="00E25D88">
      <w:pPr>
        <w:pStyle w:val="BodyText"/>
        <w:spacing w:before="1"/>
        <w:ind w:left="718" w:right="432"/>
        <w:jc w:val="both"/>
        <w:rPr>
          <w:sz w:val="20"/>
          <w:szCs w:val="20"/>
        </w:rPr>
      </w:pPr>
    </w:p>
    <w:p w14:paraId="1104B09D" w14:textId="4B985FA2" w:rsidR="007D61A1" w:rsidRPr="00E25D88" w:rsidRDefault="00EF285C" w:rsidP="00E25D88">
      <w:pPr>
        <w:pStyle w:val="BodyText"/>
        <w:spacing w:before="1"/>
        <w:ind w:left="718" w:right="432"/>
        <w:jc w:val="both"/>
        <w:rPr>
          <w:sz w:val="20"/>
          <w:szCs w:val="20"/>
        </w:rPr>
      </w:pPr>
      <w:r w:rsidRPr="00E25D88">
        <w:rPr>
          <w:sz w:val="20"/>
          <w:szCs w:val="20"/>
        </w:rPr>
        <w:t>Decommissioning is the proce</w:t>
      </w:r>
      <w:r w:rsidR="006A113E">
        <w:rPr>
          <w:sz w:val="20"/>
          <w:szCs w:val="20"/>
        </w:rPr>
        <w:t xml:space="preserve">ss of permanently removing long </w:t>
      </w:r>
      <w:r w:rsidRPr="00E25D88">
        <w:rPr>
          <w:sz w:val="20"/>
          <w:szCs w:val="20"/>
        </w:rPr>
        <w:t>lived assets from service.</w:t>
      </w:r>
    </w:p>
    <w:p w14:paraId="7BF82C75" w14:textId="77777777" w:rsidR="007D61A1" w:rsidRPr="00E25D88" w:rsidRDefault="007D61A1" w:rsidP="00E25D88">
      <w:pPr>
        <w:pStyle w:val="BodyText"/>
        <w:spacing w:before="1"/>
        <w:ind w:left="718" w:right="432"/>
        <w:jc w:val="both"/>
        <w:rPr>
          <w:sz w:val="20"/>
          <w:szCs w:val="20"/>
        </w:rPr>
      </w:pPr>
    </w:p>
    <w:p w14:paraId="7ACE71E5" w14:textId="1932083B" w:rsidR="007D61A1" w:rsidRDefault="00EF285C" w:rsidP="00E25D88">
      <w:pPr>
        <w:pStyle w:val="BodyText"/>
        <w:spacing w:before="1"/>
        <w:ind w:left="718" w:right="432"/>
        <w:jc w:val="both"/>
        <w:rPr>
          <w:sz w:val="20"/>
          <w:szCs w:val="20"/>
        </w:rPr>
      </w:pPr>
      <w:r w:rsidRPr="00E25D88">
        <w:rPr>
          <w:sz w:val="20"/>
          <w:szCs w:val="20"/>
        </w:rPr>
        <w:t xml:space="preserve">When an Operator installs infrastructure or drills a well it creates a legal obligation to remove it. This obligation is recognised in the financial statements as an </w:t>
      </w:r>
      <w:r w:rsidR="00E25D88" w:rsidRPr="00E25D88">
        <w:rPr>
          <w:sz w:val="20"/>
          <w:szCs w:val="20"/>
        </w:rPr>
        <w:t>Asset Retirement</w:t>
      </w:r>
      <w:r w:rsidR="006A113E">
        <w:rPr>
          <w:sz w:val="20"/>
          <w:szCs w:val="20"/>
        </w:rPr>
        <w:t xml:space="preserve"> </w:t>
      </w:r>
      <w:r w:rsidRPr="00E25D88">
        <w:rPr>
          <w:sz w:val="20"/>
          <w:szCs w:val="20"/>
        </w:rPr>
        <w:t>Obligation (ARO) or “Decommissioning Liability</w:t>
      </w:r>
      <w:proofErr w:type="gramStart"/>
      <w:r w:rsidRPr="00E25D88">
        <w:rPr>
          <w:sz w:val="20"/>
          <w:szCs w:val="20"/>
        </w:rPr>
        <w:t>”.</w:t>
      </w:r>
      <w:proofErr w:type="gramEnd"/>
      <w:r w:rsidRPr="00E25D88">
        <w:rPr>
          <w:sz w:val="20"/>
          <w:szCs w:val="20"/>
        </w:rPr>
        <w:t xml:space="preserve"> As the asset matures the decommissioning strategy will become more defined and more detailed decommissioning estimates will </w:t>
      </w:r>
      <w:proofErr w:type="gramStart"/>
      <w:r w:rsidRPr="00E25D88">
        <w:rPr>
          <w:sz w:val="20"/>
          <w:szCs w:val="20"/>
        </w:rPr>
        <w:t>be developed</w:t>
      </w:r>
      <w:proofErr w:type="gramEnd"/>
      <w:r w:rsidRPr="00E25D88">
        <w:rPr>
          <w:sz w:val="20"/>
          <w:szCs w:val="20"/>
        </w:rPr>
        <w:t>.</w:t>
      </w:r>
    </w:p>
    <w:p w14:paraId="2F727D53" w14:textId="26EDF435" w:rsidR="005E4144" w:rsidRDefault="005E4144" w:rsidP="00E25D88">
      <w:pPr>
        <w:pStyle w:val="BodyText"/>
        <w:spacing w:before="1"/>
        <w:ind w:left="718" w:right="432"/>
        <w:jc w:val="both"/>
        <w:rPr>
          <w:sz w:val="20"/>
          <w:szCs w:val="20"/>
        </w:rPr>
      </w:pPr>
    </w:p>
    <w:p w14:paraId="3E99499E" w14:textId="10547334" w:rsidR="005E4144" w:rsidRPr="00E25D88" w:rsidRDefault="00027329" w:rsidP="00EE472F">
      <w:pPr>
        <w:pStyle w:val="BodyText"/>
        <w:ind w:left="718"/>
        <w:rPr>
          <w:sz w:val="20"/>
          <w:szCs w:val="20"/>
        </w:rPr>
      </w:pPr>
      <w:proofErr w:type="gramStart"/>
      <w:r w:rsidRPr="00EE472F">
        <w:rPr>
          <w:sz w:val="20"/>
          <w:szCs w:val="20"/>
        </w:rPr>
        <w:t>O</w:t>
      </w:r>
      <w:r w:rsidR="005E4144" w:rsidRPr="00EE472F">
        <w:rPr>
          <w:sz w:val="20"/>
          <w:szCs w:val="20"/>
        </w:rPr>
        <w:t>ffshore decommissioning options and assumptions will be approved by the Offshore Petroleum Regulator for Environment and Decommissioning (OPRED)</w:t>
      </w:r>
      <w:proofErr w:type="gramEnd"/>
      <w:r w:rsidR="005E4144" w:rsidRPr="00EE472F">
        <w:rPr>
          <w:sz w:val="20"/>
          <w:szCs w:val="20"/>
        </w:rPr>
        <w:t xml:space="preserve"> through the required Decommissioning Programme approval process</w:t>
      </w:r>
      <w:r w:rsidR="00AF5731">
        <w:rPr>
          <w:sz w:val="20"/>
          <w:szCs w:val="20"/>
        </w:rPr>
        <w:t>.</w:t>
      </w:r>
    </w:p>
    <w:p w14:paraId="5CF465E3" w14:textId="77777777" w:rsidR="007D61A1" w:rsidRPr="00E25D88" w:rsidRDefault="007D61A1" w:rsidP="00E25D88">
      <w:pPr>
        <w:pStyle w:val="BodyText"/>
        <w:spacing w:before="1"/>
        <w:ind w:left="718" w:right="432"/>
        <w:jc w:val="both"/>
        <w:rPr>
          <w:sz w:val="20"/>
          <w:szCs w:val="20"/>
        </w:rPr>
      </w:pPr>
    </w:p>
    <w:p w14:paraId="26F58D82" w14:textId="35040525" w:rsidR="007D61A1" w:rsidRPr="00E25D88" w:rsidRDefault="00EF285C" w:rsidP="00E25D88">
      <w:pPr>
        <w:pStyle w:val="BodyText"/>
        <w:spacing w:before="1"/>
        <w:ind w:left="718" w:right="432"/>
        <w:jc w:val="both"/>
        <w:rPr>
          <w:sz w:val="20"/>
          <w:szCs w:val="20"/>
        </w:rPr>
      </w:pPr>
      <w:proofErr w:type="gramStart"/>
      <w:r w:rsidRPr="00E25D88">
        <w:rPr>
          <w:sz w:val="20"/>
          <w:szCs w:val="20"/>
        </w:rPr>
        <w:t>In order to</w:t>
      </w:r>
      <w:proofErr w:type="gramEnd"/>
      <w:r w:rsidRPr="00E25D88">
        <w:rPr>
          <w:sz w:val="20"/>
          <w:szCs w:val="20"/>
        </w:rPr>
        <w:t xml:space="preserve"> establish a systematic approach to classifying costs, </w:t>
      </w:r>
      <w:r w:rsidR="002F66C7" w:rsidRPr="002023B0">
        <w:rPr>
          <w:sz w:val="20"/>
          <w:szCs w:val="20"/>
        </w:rPr>
        <w:t xml:space="preserve">Offshore Energies UK (OEUK) issued: </w:t>
      </w:r>
      <w:r w:rsidR="002F66C7" w:rsidRPr="00EE472F">
        <w:rPr>
          <w:sz w:val="20"/>
          <w:szCs w:val="20"/>
          <w:u w:val="single"/>
        </w:rPr>
        <w:t>Guideline on Decommissioning Cost Estimation</w:t>
      </w:r>
      <w:r w:rsidR="002F66C7" w:rsidRPr="002023B0">
        <w:rPr>
          <w:sz w:val="20"/>
          <w:szCs w:val="20"/>
        </w:rPr>
        <w:t xml:space="preserve"> </w:t>
      </w:r>
      <w:r w:rsidR="002F66C7" w:rsidRPr="00EE472F">
        <w:rPr>
          <w:i/>
          <w:iCs/>
          <w:sz w:val="20"/>
          <w:szCs w:val="20"/>
        </w:rPr>
        <w:t>(</w:t>
      </w:r>
      <w:r w:rsidR="006B54C7" w:rsidRPr="00EE472F">
        <w:rPr>
          <w:i/>
          <w:iCs/>
          <w:sz w:val="20"/>
          <w:szCs w:val="20"/>
        </w:rPr>
        <w:t>Reference 1</w:t>
      </w:r>
      <w:r w:rsidR="002F66C7" w:rsidRPr="00EE472F">
        <w:rPr>
          <w:i/>
          <w:iCs/>
          <w:sz w:val="20"/>
          <w:szCs w:val="20"/>
        </w:rPr>
        <w:t>),</w:t>
      </w:r>
      <w:r w:rsidR="002F66C7" w:rsidRPr="002023B0">
        <w:rPr>
          <w:sz w:val="20"/>
          <w:szCs w:val="20"/>
        </w:rPr>
        <w:t xml:space="preserve"> the</w:t>
      </w:r>
      <w:r w:rsidR="002F66C7">
        <w:rPr>
          <w:sz w:val="20"/>
          <w:szCs w:val="20"/>
        </w:rPr>
        <w:t xml:space="preserve"> output from </w:t>
      </w:r>
      <w:r w:rsidR="006A113E">
        <w:rPr>
          <w:sz w:val="20"/>
          <w:szCs w:val="20"/>
        </w:rPr>
        <w:t>a</w:t>
      </w:r>
      <w:r w:rsidRPr="00E25D88">
        <w:rPr>
          <w:sz w:val="20"/>
          <w:szCs w:val="20"/>
        </w:rPr>
        <w:t xml:space="preserve"> workgroup </w:t>
      </w:r>
      <w:r w:rsidR="002F66C7">
        <w:rPr>
          <w:sz w:val="20"/>
          <w:szCs w:val="20"/>
        </w:rPr>
        <w:t xml:space="preserve">who </w:t>
      </w:r>
      <w:r w:rsidRPr="00E25D88">
        <w:rPr>
          <w:sz w:val="20"/>
          <w:szCs w:val="20"/>
        </w:rPr>
        <w:t xml:space="preserve">focused </w:t>
      </w:r>
      <w:r w:rsidR="00E25D88" w:rsidRPr="00E25D88">
        <w:rPr>
          <w:sz w:val="20"/>
          <w:szCs w:val="20"/>
        </w:rPr>
        <w:t>on the</w:t>
      </w:r>
      <w:r w:rsidRPr="00E25D88">
        <w:rPr>
          <w:sz w:val="20"/>
          <w:szCs w:val="20"/>
        </w:rPr>
        <w:t xml:space="preserve"> nature of activities taking place at each stage of</w:t>
      </w:r>
      <w:r w:rsidR="00576EBD">
        <w:rPr>
          <w:sz w:val="20"/>
          <w:szCs w:val="20"/>
        </w:rPr>
        <w:t xml:space="preserve"> decommissioning </w:t>
      </w:r>
      <w:r w:rsidRPr="00E25D88">
        <w:rPr>
          <w:sz w:val="20"/>
          <w:szCs w:val="20"/>
        </w:rPr>
        <w:t>. Given the potential for variation in practice across the industry a series of examples has been prepared by the workgroup.</w:t>
      </w:r>
    </w:p>
    <w:p w14:paraId="3542781D" w14:textId="77777777" w:rsidR="007D61A1" w:rsidRDefault="007D61A1">
      <w:pPr>
        <w:pStyle w:val="BodyText"/>
        <w:rPr>
          <w:sz w:val="24"/>
        </w:rPr>
      </w:pPr>
    </w:p>
    <w:p w14:paraId="5206B9BD" w14:textId="551B96C6" w:rsidR="007D61A1" w:rsidRDefault="007D61A1">
      <w:pPr>
        <w:pStyle w:val="BodyText"/>
        <w:spacing w:before="1"/>
      </w:pPr>
    </w:p>
    <w:p w14:paraId="1E740FFC" w14:textId="6595F928" w:rsidR="00AF5731" w:rsidRDefault="00AF5731">
      <w:pPr>
        <w:pStyle w:val="BodyText"/>
        <w:spacing w:before="1"/>
      </w:pPr>
    </w:p>
    <w:p w14:paraId="45845FBA" w14:textId="77777777" w:rsidR="00AF5731" w:rsidRPr="00E25D88" w:rsidRDefault="00AF5731">
      <w:pPr>
        <w:pStyle w:val="BodyText"/>
        <w:spacing w:before="1"/>
      </w:pPr>
    </w:p>
    <w:p w14:paraId="7D227E85" w14:textId="1ECA21F1" w:rsidR="007D61A1" w:rsidRDefault="00EF285C" w:rsidP="00EE472F">
      <w:pPr>
        <w:pStyle w:val="BodyText"/>
        <w:numPr>
          <w:ilvl w:val="0"/>
          <w:numId w:val="13"/>
        </w:numPr>
        <w:spacing w:before="8"/>
        <w:rPr>
          <w:b/>
          <w:sz w:val="21"/>
        </w:rPr>
      </w:pPr>
      <w:bookmarkStart w:id="1" w:name="_TOC_250008"/>
      <w:r w:rsidRPr="00EE472F">
        <w:rPr>
          <w:b/>
          <w:bCs/>
        </w:rPr>
        <w:t xml:space="preserve">Definition of </w:t>
      </w:r>
      <w:r w:rsidR="00DC59B8" w:rsidRPr="00EE472F">
        <w:rPr>
          <w:b/>
          <w:bCs/>
        </w:rPr>
        <w:t>Decommissioning</w:t>
      </w:r>
      <w:r w:rsidR="00DC59B8" w:rsidRPr="00DC59B8" w:rsidDel="00DC59B8">
        <w:rPr>
          <w:b/>
          <w:bCs/>
        </w:rPr>
        <w:t xml:space="preserve"> </w:t>
      </w:r>
      <w:r w:rsidRPr="00EE472F">
        <w:rPr>
          <w:b/>
          <w:bCs/>
        </w:rPr>
        <w:t>costs</w:t>
      </w:r>
      <w:bookmarkEnd w:id="1"/>
    </w:p>
    <w:p w14:paraId="4969FDC4" w14:textId="77777777" w:rsidR="00AF5731" w:rsidRDefault="00AF5731">
      <w:pPr>
        <w:pStyle w:val="BodyText"/>
        <w:spacing w:before="8"/>
        <w:rPr>
          <w:b/>
          <w:sz w:val="21"/>
        </w:rPr>
      </w:pPr>
    </w:p>
    <w:p w14:paraId="2F5CA276" w14:textId="77777777" w:rsidR="007D61A1" w:rsidRPr="00E25D88" w:rsidRDefault="00EF285C" w:rsidP="00E25D88">
      <w:pPr>
        <w:pStyle w:val="BodyText"/>
        <w:spacing w:before="1"/>
        <w:ind w:left="718" w:right="432"/>
        <w:jc w:val="both"/>
        <w:rPr>
          <w:sz w:val="20"/>
          <w:szCs w:val="20"/>
        </w:rPr>
      </w:pPr>
      <w:r w:rsidRPr="00E25D88">
        <w:rPr>
          <w:sz w:val="20"/>
          <w:szCs w:val="20"/>
        </w:rPr>
        <w:t>To guide users on what co</w:t>
      </w:r>
      <w:r w:rsidR="000609D1">
        <w:rPr>
          <w:sz w:val="20"/>
          <w:szCs w:val="20"/>
        </w:rPr>
        <w:t xml:space="preserve">sts are decommissioning related, </w:t>
      </w:r>
      <w:r w:rsidRPr="00E25D88">
        <w:rPr>
          <w:sz w:val="20"/>
          <w:szCs w:val="20"/>
        </w:rPr>
        <w:t>defined as “Abex” (“Aband</w:t>
      </w:r>
      <w:r w:rsidR="00761F29">
        <w:rPr>
          <w:sz w:val="20"/>
          <w:szCs w:val="20"/>
        </w:rPr>
        <w:t>onment expenditure”) costs</w:t>
      </w:r>
      <w:r w:rsidR="000609D1">
        <w:rPr>
          <w:sz w:val="20"/>
          <w:szCs w:val="20"/>
        </w:rPr>
        <w:t xml:space="preserve"> </w:t>
      </w:r>
      <w:r w:rsidR="005B3882">
        <w:rPr>
          <w:sz w:val="20"/>
          <w:szCs w:val="20"/>
        </w:rPr>
        <w:t>include:</w:t>
      </w:r>
    </w:p>
    <w:p w14:paraId="0FD1634F" w14:textId="77777777" w:rsidR="007D61A1" w:rsidRPr="00E25D88" w:rsidRDefault="007D61A1">
      <w:pPr>
        <w:pStyle w:val="BodyText"/>
        <w:spacing w:before="3"/>
        <w:rPr>
          <w:sz w:val="20"/>
          <w:szCs w:val="20"/>
        </w:rPr>
      </w:pPr>
    </w:p>
    <w:p w14:paraId="1C1F9FF2" w14:textId="6E651802" w:rsidR="000F6B5F" w:rsidRPr="00E25D88" w:rsidRDefault="00EF285C" w:rsidP="00FE4C33">
      <w:pPr>
        <w:pStyle w:val="ListParagraph"/>
        <w:numPr>
          <w:ilvl w:val="0"/>
          <w:numId w:val="4"/>
        </w:numPr>
        <w:spacing w:before="1" w:line="237" w:lineRule="auto"/>
        <w:ind w:left="1134" w:right="149" w:hanging="425"/>
        <w:rPr>
          <w:sz w:val="20"/>
          <w:szCs w:val="20"/>
        </w:rPr>
      </w:pPr>
      <w:bookmarkStart w:id="2" w:name="_Hlk134523178"/>
      <w:r w:rsidRPr="00E25D88">
        <w:rPr>
          <w:sz w:val="20"/>
          <w:szCs w:val="20"/>
        </w:rPr>
        <w:t xml:space="preserve">Costs associated with </w:t>
      </w:r>
      <w:r w:rsidR="000F6B5F">
        <w:rPr>
          <w:sz w:val="20"/>
          <w:szCs w:val="20"/>
        </w:rPr>
        <w:t>isolation, cleaning</w:t>
      </w:r>
      <w:r w:rsidR="004026BC">
        <w:rPr>
          <w:sz w:val="20"/>
          <w:szCs w:val="20"/>
        </w:rPr>
        <w:t xml:space="preserve"> and</w:t>
      </w:r>
      <w:r w:rsidR="000F6B5F">
        <w:rPr>
          <w:sz w:val="20"/>
          <w:szCs w:val="20"/>
        </w:rPr>
        <w:t xml:space="preserve"> flushing prior to </w:t>
      </w:r>
      <w:bookmarkEnd w:id="2"/>
      <w:r w:rsidRPr="00E25D88">
        <w:rPr>
          <w:sz w:val="20"/>
          <w:szCs w:val="20"/>
        </w:rPr>
        <w:t xml:space="preserve">removal and dismantlement of the field facilities both topside and subsea related are deemed as decommissioning </w:t>
      </w:r>
      <w:proofErr w:type="gramStart"/>
      <w:r w:rsidRPr="00E25D88">
        <w:rPr>
          <w:sz w:val="20"/>
          <w:szCs w:val="20"/>
        </w:rPr>
        <w:t>activities</w:t>
      </w:r>
      <w:r w:rsidR="005B3882">
        <w:rPr>
          <w:sz w:val="20"/>
          <w:szCs w:val="20"/>
        </w:rPr>
        <w:t>;</w:t>
      </w:r>
      <w:proofErr w:type="gramEnd"/>
    </w:p>
    <w:p w14:paraId="568F96F6" w14:textId="77777777" w:rsidR="000F6B5F" w:rsidRPr="00EE472F" w:rsidRDefault="000F6B5F" w:rsidP="00EE472F">
      <w:pPr>
        <w:spacing w:before="1" w:line="237" w:lineRule="auto"/>
        <w:ind w:right="149"/>
        <w:rPr>
          <w:sz w:val="20"/>
          <w:szCs w:val="20"/>
        </w:rPr>
      </w:pPr>
    </w:p>
    <w:p w14:paraId="2BF312D5" w14:textId="3756F771" w:rsidR="007D61A1" w:rsidRPr="00EE472F" w:rsidRDefault="00EF285C" w:rsidP="00EE472F">
      <w:pPr>
        <w:pStyle w:val="ListParagraph"/>
        <w:numPr>
          <w:ilvl w:val="0"/>
          <w:numId w:val="29"/>
        </w:numPr>
        <w:rPr>
          <w:sz w:val="20"/>
          <w:szCs w:val="20"/>
        </w:rPr>
      </w:pPr>
      <w:r w:rsidRPr="00EE472F">
        <w:rPr>
          <w:sz w:val="20"/>
          <w:szCs w:val="20"/>
        </w:rPr>
        <w:t xml:space="preserve">Well </w:t>
      </w:r>
      <w:r w:rsidR="000609D1" w:rsidRPr="00EE472F">
        <w:rPr>
          <w:sz w:val="20"/>
          <w:szCs w:val="20"/>
        </w:rPr>
        <w:t>plug and abandonment costs (</w:t>
      </w:r>
      <w:r w:rsidR="000F6B5F" w:rsidRPr="00EE472F">
        <w:rPr>
          <w:sz w:val="20"/>
          <w:szCs w:val="20"/>
        </w:rPr>
        <w:t xml:space="preserve">Well </w:t>
      </w:r>
      <w:r w:rsidR="000609D1" w:rsidRPr="00EE472F">
        <w:rPr>
          <w:sz w:val="20"/>
          <w:szCs w:val="20"/>
        </w:rPr>
        <w:t>P&amp;</w:t>
      </w:r>
      <w:r w:rsidRPr="00EE472F">
        <w:rPr>
          <w:sz w:val="20"/>
          <w:szCs w:val="20"/>
        </w:rPr>
        <w:t>A)</w:t>
      </w:r>
      <w:r w:rsidR="00941387" w:rsidRPr="00EE472F">
        <w:rPr>
          <w:sz w:val="20"/>
          <w:szCs w:val="20"/>
        </w:rPr>
        <w:t xml:space="preserve">, in accordance with </w:t>
      </w:r>
      <w:r w:rsidR="002023B0" w:rsidRPr="00EE472F">
        <w:rPr>
          <w:sz w:val="20"/>
          <w:szCs w:val="20"/>
          <w:u w:val="single"/>
        </w:rPr>
        <w:t xml:space="preserve">UKCS </w:t>
      </w:r>
      <w:r w:rsidR="00941387" w:rsidRPr="00EE472F">
        <w:rPr>
          <w:sz w:val="20"/>
          <w:szCs w:val="20"/>
          <w:u w:val="single"/>
        </w:rPr>
        <w:t xml:space="preserve">Wells </w:t>
      </w:r>
      <w:r w:rsidR="002023B0" w:rsidRPr="00EE472F">
        <w:rPr>
          <w:sz w:val="20"/>
          <w:szCs w:val="20"/>
          <w:u w:val="single"/>
        </w:rPr>
        <w:t>Applications and C</w:t>
      </w:r>
      <w:r w:rsidR="00941387" w:rsidRPr="00EE472F">
        <w:rPr>
          <w:sz w:val="20"/>
          <w:szCs w:val="20"/>
          <w:u w:val="single"/>
        </w:rPr>
        <w:t xml:space="preserve">onsent Guidance - </w:t>
      </w:r>
      <w:r w:rsidR="00941387" w:rsidRPr="00EE472F">
        <w:rPr>
          <w:i/>
          <w:iCs/>
          <w:sz w:val="20"/>
          <w:szCs w:val="20"/>
          <w:u w:val="single"/>
        </w:rPr>
        <w:t xml:space="preserve">section 114 Abandonment of a </w:t>
      </w:r>
      <w:r w:rsidR="00941387" w:rsidRPr="00EE472F">
        <w:rPr>
          <w:sz w:val="20"/>
          <w:szCs w:val="20"/>
          <w:u w:val="single"/>
        </w:rPr>
        <w:t>well</w:t>
      </w:r>
      <w:r w:rsidR="00941387" w:rsidRPr="00EE472F">
        <w:rPr>
          <w:sz w:val="20"/>
          <w:szCs w:val="20"/>
        </w:rPr>
        <w:t xml:space="preserve"> </w:t>
      </w:r>
      <w:r w:rsidR="00941387" w:rsidRPr="00EE472F">
        <w:rPr>
          <w:i/>
          <w:iCs/>
          <w:sz w:val="20"/>
          <w:szCs w:val="20"/>
        </w:rPr>
        <w:t>(Reference 2</w:t>
      </w:r>
      <w:proofErr w:type="gramStart"/>
      <w:r w:rsidR="00941387" w:rsidRPr="00EE472F">
        <w:rPr>
          <w:i/>
          <w:iCs/>
          <w:sz w:val="20"/>
          <w:szCs w:val="20"/>
        </w:rPr>
        <w:t>);</w:t>
      </w:r>
      <w:proofErr w:type="gramEnd"/>
    </w:p>
    <w:p w14:paraId="2726525E" w14:textId="77777777" w:rsidR="007D61A1" w:rsidRPr="00E25D88" w:rsidRDefault="007D61A1" w:rsidP="00E25D88">
      <w:pPr>
        <w:pStyle w:val="BodyText"/>
        <w:ind w:left="1230" w:hanging="521"/>
        <w:rPr>
          <w:sz w:val="20"/>
          <w:szCs w:val="20"/>
        </w:rPr>
      </w:pPr>
    </w:p>
    <w:p w14:paraId="0432A396" w14:textId="51DD8D4B" w:rsidR="007D61A1" w:rsidRDefault="00EF285C" w:rsidP="00FE4C33">
      <w:pPr>
        <w:pStyle w:val="ListParagraph"/>
        <w:numPr>
          <w:ilvl w:val="0"/>
          <w:numId w:val="4"/>
        </w:numPr>
        <w:tabs>
          <w:tab w:val="left" w:pos="1134"/>
        </w:tabs>
        <w:spacing w:line="237" w:lineRule="auto"/>
        <w:ind w:left="1134" w:right="150" w:hanging="425"/>
        <w:rPr>
          <w:sz w:val="20"/>
          <w:szCs w:val="20"/>
        </w:rPr>
      </w:pPr>
      <w:r w:rsidRPr="00E25D88">
        <w:rPr>
          <w:sz w:val="20"/>
          <w:szCs w:val="20"/>
        </w:rPr>
        <w:t>During active decommissioning</w:t>
      </w:r>
      <w:r w:rsidR="000609D1">
        <w:rPr>
          <w:sz w:val="20"/>
          <w:szCs w:val="20"/>
        </w:rPr>
        <w:t>,</w:t>
      </w:r>
      <w:r w:rsidRPr="00E25D88">
        <w:rPr>
          <w:sz w:val="20"/>
          <w:szCs w:val="20"/>
        </w:rPr>
        <w:t xml:space="preserve"> costs incurred supporting the above include Operator Project Management and </w:t>
      </w:r>
      <w:r w:rsidR="000F6B5F">
        <w:rPr>
          <w:sz w:val="20"/>
          <w:szCs w:val="20"/>
        </w:rPr>
        <w:t>Post-</w:t>
      </w:r>
      <w:r w:rsidR="000967AB">
        <w:rPr>
          <w:sz w:val="20"/>
          <w:szCs w:val="20"/>
        </w:rPr>
        <w:t>COP</w:t>
      </w:r>
      <w:r w:rsidR="000F6B5F" w:rsidRPr="00E25D88">
        <w:rPr>
          <w:sz w:val="20"/>
          <w:szCs w:val="20"/>
        </w:rPr>
        <w:t xml:space="preserve"> </w:t>
      </w:r>
      <w:r w:rsidRPr="00E25D88">
        <w:rPr>
          <w:sz w:val="20"/>
          <w:szCs w:val="20"/>
        </w:rPr>
        <w:t xml:space="preserve">Running </w:t>
      </w:r>
      <w:proofErr w:type="gramStart"/>
      <w:r w:rsidRPr="00E25D88">
        <w:rPr>
          <w:sz w:val="20"/>
          <w:szCs w:val="20"/>
        </w:rPr>
        <w:t>costs</w:t>
      </w:r>
      <w:r w:rsidR="005B3882">
        <w:rPr>
          <w:sz w:val="20"/>
          <w:szCs w:val="20"/>
        </w:rPr>
        <w:t>;</w:t>
      </w:r>
      <w:proofErr w:type="gramEnd"/>
    </w:p>
    <w:p w14:paraId="41FE68B9" w14:textId="77777777" w:rsidR="004026BC" w:rsidRDefault="004026BC" w:rsidP="00EE472F">
      <w:pPr>
        <w:pStyle w:val="ListParagraph"/>
        <w:tabs>
          <w:tab w:val="left" w:pos="1134"/>
        </w:tabs>
        <w:spacing w:line="237" w:lineRule="auto"/>
        <w:ind w:left="1134" w:right="150" w:firstLine="0"/>
        <w:rPr>
          <w:sz w:val="20"/>
          <w:szCs w:val="20"/>
        </w:rPr>
      </w:pPr>
    </w:p>
    <w:p w14:paraId="2D6564B4" w14:textId="77777777" w:rsidR="00A172D1" w:rsidRPr="00EE472F" w:rsidRDefault="00A172D1" w:rsidP="00EE472F">
      <w:pPr>
        <w:pStyle w:val="ListParagraph"/>
        <w:rPr>
          <w:sz w:val="20"/>
          <w:szCs w:val="20"/>
        </w:rPr>
      </w:pPr>
    </w:p>
    <w:p w14:paraId="15BDCCC5" w14:textId="0473ABD1" w:rsidR="00A172D1" w:rsidRPr="00EE472F" w:rsidRDefault="00A172D1" w:rsidP="00EE472F">
      <w:pPr>
        <w:pStyle w:val="BodyText"/>
        <w:ind w:left="709"/>
        <w:rPr>
          <w:sz w:val="20"/>
          <w:szCs w:val="20"/>
        </w:rPr>
      </w:pPr>
      <w:r w:rsidRPr="00EE472F">
        <w:rPr>
          <w:sz w:val="20"/>
          <w:szCs w:val="20"/>
        </w:rPr>
        <w:t xml:space="preserve">As stated in the </w:t>
      </w:r>
      <w:r w:rsidR="006B54C7" w:rsidRPr="002023B0">
        <w:rPr>
          <w:sz w:val="20"/>
          <w:szCs w:val="20"/>
        </w:rPr>
        <w:t xml:space="preserve">BEIS </w:t>
      </w:r>
      <w:r w:rsidR="002023B0" w:rsidRPr="002023B0">
        <w:rPr>
          <w:sz w:val="20"/>
          <w:szCs w:val="20"/>
        </w:rPr>
        <w:t>Guidance Notes</w:t>
      </w:r>
      <w:r w:rsidR="002023B0" w:rsidRPr="00EE472F">
        <w:rPr>
          <w:sz w:val="20"/>
          <w:szCs w:val="20"/>
          <w:u w:val="single"/>
        </w:rPr>
        <w:t xml:space="preserve"> </w:t>
      </w:r>
      <w:r w:rsidR="001115D7" w:rsidRPr="00EE472F">
        <w:rPr>
          <w:sz w:val="20"/>
          <w:szCs w:val="20"/>
          <w:u w:val="single"/>
        </w:rPr>
        <w:t xml:space="preserve">Decommissioning </w:t>
      </w:r>
      <w:r w:rsidR="002023B0" w:rsidRPr="00EE472F">
        <w:rPr>
          <w:sz w:val="20"/>
          <w:szCs w:val="20"/>
          <w:u w:val="single"/>
        </w:rPr>
        <w:t>of Offshore Oil and Gas Installations and Pipelines</w:t>
      </w:r>
      <w:r w:rsidR="002023B0">
        <w:rPr>
          <w:sz w:val="20"/>
          <w:szCs w:val="20"/>
        </w:rPr>
        <w:t xml:space="preserve"> </w:t>
      </w:r>
      <w:r w:rsidR="001115D7" w:rsidRPr="00EE472F">
        <w:rPr>
          <w:i/>
          <w:iCs/>
          <w:sz w:val="20"/>
          <w:szCs w:val="20"/>
        </w:rPr>
        <w:t>(R</w:t>
      </w:r>
      <w:r w:rsidR="006B54C7" w:rsidRPr="00EE472F">
        <w:rPr>
          <w:i/>
          <w:iCs/>
          <w:sz w:val="20"/>
          <w:szCs w:val="20"/>
        </w:rPr>
        <w:t xml:space="preserve">eference </w:t>
      </w:r>
      <w:r w:rsidR="00941387" w:rsidRPr="00EE472F">
        <w:rPr>
          <w:i/>
          <w:iCs/>
          <w:sz w:val="20"/>
          <w:szCs w:val="20"/>
        </w:rPr>
        <w:t>3</w:t>
      </w:r>
      <w:r w:rsidR="006B54C7" w:rsidRPr="00EE472F">
        <w:rPr>
          <w:i/>
          <w:iCs/>
          <w:sz w:val="20"/>
          <w:szCs w:val="20"/>
        </w:rPr>
        <w:t>)</w:t>
      </w:r>
      <w:r w:rsidRPr="00EE472F">
        <w:rPr>
          <w:i/>
          <w:iCs/>
          <w:sz w:val="20"/>
          <w:szCs w:val="20"/>
        </w:rPr>
        <w:t>,</w:t>
      </w:r>
      <w:r w:rsidRPr="00EE472F">
        <w:rPr>
          <w:sz w:val="20"/>
          <w:szCs w:val="20"/>
        </w:rPr>
        <w:t xml:space="preserve"> Operators should begin planning for decommissioning during the late life stage of </w:t>
      </w:r>
      <w:proofErr w:type="gramStart"/>
      <w:r w:rsidRPr="00EE472F">
        <w:rPr>
          <w:sz w:val="20"/>
          <w:szCs w:val="20"/>
        </w:rPr>
        <w:t>operations, and</w:t>
      </w:r>
      <w:proofErr w:type="gramEnd"/>
      <w:r w:rsidRPr="00EE472F">
        <w:rPr>
          <w:sz w:val="20"/>
          <w:szCs w:val="20"/>
        </w:rPr>
        <w:t xml:space="preserve"> should initiate decommissioning engagement with OPRED in advance of cessation of production. Most operators will start dialogue with the regulator two to five years in advance of cessation of production, depending on the complexity of the project and start to incur Decommissioning expenditure as a result.</w:t>
      </w:r>
    </w:p>
    <w:p w14:paraId="5E0045C4" w14:textId="77777777" w:rsidR="00CB0ADF" w:rsidRDefault="00CB0ADF" w:rsidP="00A172D1">
      <w:pPr>
        <w:pStyle w:val="BodyText"/>
        <w:ind w:left="709"/>
        <w:rPr>
          <w:b/>
          <w:bCs/>
          <w:sz w:val="20"/>
          <w:szCs w:val="20"/>
        </w:rPr>
      </w:pPr>
    </w:p>
    <w:p w14:paraId="77EB49EB" w14:textId="626F4093" w:rsidR="00A172D1" w:rsidRDefault="00A172D1" w:rsidP="00A172D1">
      <w:pPr>
        <w:pStyle w:val="BodyText"/>
        <w:ind w:left="709"/>
        <w:rPr>
          <w:sz w:val="20"/>
          <w:szCs w:val="20"/>
        </w:rPr>
      </w:pPr>
      <w:r w:rsidRPr="00EE472F">
        <w:rPr>
          <w:b/>
          <w:bCs/>
          <w:sz w:val="20"/>
          <w:szCs w:val="20"/>
        </w:rPr>
        <w:t>Decommissioning Programme Process</w:t>
      </w:r>
      <w:r w:rsidRPr="00EE472F">
        <w:rPr>
          <w:sz w:val="20"/>
          <w:szCs w:val="20"/>
        </w:rPr>
        <w:t xml:space="preserve"> </w:t>
      </w:r>
    </w:p>
    <w:p w14:paraId="610D2450" w14:textId="77777777" w:rsidR="00C2163D" w:rsidRPr="00EE472F" w:rsidRDefault="00C2163D" w:rsidP="00A172D1">
      <w:pPr>
        <w:pStyle w:val="BodyText"/>
        <w:ind w:left="709"/>
        <w:rPr>
          <w:sz w:val="20"/>
          <w:szCs w:val="20"/>
        </w:rPr>
      </w:pPr>
    </w:p>
    <w:p w14:paraId="18B5F893" w14:textId="441F1812" w:rsidR="00A172D1" w:rsidRPr="00EE472F" w:rsidRDefault="00A172D1" w:rsidP="00EE472F">
      <w:pPr>
        <w:pStyle w:val="BodyText"/>
        <w:ind w:left="709"/>
        <w:rPr>
          <w:sz w:val="20"/>
          <w:szCs w:val="20"/>
        </w:rPr>
      </w:pPr>
      <w:r w:rsidRPr="00EE472F">
        <w:rPr>
          <w:sz w:val="20"/>
          <w:szCs w:val="20"/>
        </w:rPr>
        <w:t xml:space="preserve">There are five key stages in the decommissioning process starting before cessation of production and continuing through the early identification of options, to detailed assessment and drafting of a decommissioning programme (DP), followed by execution and then post completion activity. OPRED will provide support and guidance throughout the process explaining the different data requirements and assessments required at each stage. The different stages are described in detail </w:t>
      </w:r>
      <w:proofErr w:type="gramStart"/>
      <w:r w:rsidRPr="00EE472F">
        <w:rPr>
          <w:sz w:val="20"/>
          <w:szCs w:val="20"/>
        </w:rPr>
        <w:t>below</w:t>
      </w:r>
      <w:proofErr w:type="gramEnd"/>
    </w:p>
    <w:p w14:paraId="15130131" w14:textId="152180B5" w:rsidR="00A172D1" w:rsidRDefault="00A172D1" w:rsidP="00A172D1">
      <w:pPr>
        <w:pStyle w:val="BodyText"/>
      </w:pPr>
    </w:p>
    <w:p w14:paraId="4153534E" w14:textId="291406D7" w:rsidR="00A172D1" w:rsidRPr="00E25D88" w:rsidRDefault="00A172D1" w:rsidP="00EE472F">
      <w:pPr>
        <w:pStyle w:val="BodyText"/>
      </w:pPr>
    </w:p>
    <w:p w14:paraId="45A88CFA" w14:textId="77777777" w:rsidR="00C062C6" w:rsidRDefault="00F62A44" w:rsidP="00E25D88">
      <w:pPr>
        <w:pStyle w:val="BodyText"/>
        <w:spacing w:before="1"/>
        <w:ind w:left="718" w:right="432"/>
        <w:jc w:val="both"/>
      </w:pPr>
      <w:r>
        <w:rPr>
          <w:noProof/>
        </w:rPr>
        <w:drawing>
          <wp:inline distT="0" distB="0" distL="0" distR="0" wp14:anchorId="463C0569" wp14:editId="07A869AF">
            <wp:extent cx="6057900" cy="43053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057900" cy="4305300"/>
                    </a:xfrm>
                    <a:prstGeom prst="rect">
                      <a:avLst/>
                    </a:prstGeom>
                  </pic:spPr>
                </pic:pic>
              </a:graphicData>
            </a:graphic>
          </wp:inline>
        </w:drawing>
      </w:r>
    </w:p>
    <w:p w14:paraId="1002E2EA" w14:textId="77777777" w:rsidR="00C062C6" w:rsidRDefault="00C062C6" w:rsidP="00E25D88">
      <w:pPr>
        <w:pStyle w:val="BodyText"/>
        <w:spacing w:before="1"/>
        <w:ind w:left="718" w:right="432"/>
        <w:jc w:val="both"/>
      </w:pPr>
    </w:p>
    <w:p w14:paraId="25BA7741" w14:textId="27142D1D" w:rsidR="007D524D" w:rsidRDefault="007D524D" w:rsidP="00E25D88">
      <w:pPr>
        <w:pStyle w:val="BodyText"/>
        <w:spacing w:before="1"/>
        <w:ind w:left="718" w:right="432"/>
        <w:jc w:val="both"/>
      </w:pPr>
    </w:p>
    <w:p w14:paraId="7D7DB035" w14:textId="77777777" w:rsidR="007D61A1" w:rsidRDefault="007D61A1" w:rsidP="005B3882">
      <w:pPr>
        <w:pStyle w:val="BodyText"/>
        <w:spacing w:before="7"/>
        <w:ind w:left="426" w:hanging="426"/>
        <w:rPr>
          <w:sz w:val="17"/>
        </w:rPr>
      </w:pPr>
    </w:p>
    <w:p w14:paraId="59DDD8EA" w14:textId="77777777" w:rsidR="007D61A1" w:rsidRPr="005B4E3D" w:rsidRDefault="00EF285C" w:rsidP="005B3882">
      <w:pPr>
        <w:pStyle w:val="Heading1"/>
        <w:numPr>
          <w:ilvl w:val="0"/>
          <w:numId w:val="13"/>
        </w:numPr>
        <w:ind w:left="426" w:hanging="284"/>
      </w:pPr>
      <w:bookmarkStart w:id="3" w:name="_TOC_250007"/>
      <w:r w:rsidRPr="005B4E3D">
        <w:t xml:space="preserve">Cost </w:t>
      </w:r>
      <w:bookmarkEnd w:id="3"/>
      <w:r w:rsidRPr="005B4E3D">
        <w:t>Estimation</w:t>
      </w:r>
    </w:p>
    <w:p w14:paraId="2ED765FF" w14:textId="77777777" w:rsidR="007D61A1" w:rsidRDefault="007D61A1">
      <w:pPr>
        <w:pStyle w:val="BodyText"/>
        <w:spacing w:before="9"/>
        <w:rPr>
          <w:b/>
          <w:sz w:val="21"/>
        </w:rPr>
      </w:pPr>
    </w:p>
    <w:p w14:paraId="1870AB13" w14:textId="7B6C0B64" w:rsidR="007D61A1" w:rsidRPr="00EE472F" w:rsidRDefault="002F66C7" w:rsidP="00EE472F">
      <w:pPr>
        <w:pStyle w:val="BodyText"/>
        <w:spacing w:before="240"/>
        <w:ind w:left="426" w:right="432"/>
        <w:jc w:val="both"/>
        <w:rPr>
          <w:i/>
          <w:iCs/>
          <w:sz w:val="20"/>
          <w:szCs w:val="20"/>
        </w:rPr>
      </w:pPr>
      <w:r>
        <w:rPr>
          <w:sz w:val="20"/>
          <w:szCs w:val="20"/>
        </w:rPr>
        <w:t xml:space="preserve">The </w:t>
      </w:r>
      <w:r w:rsidR="00027329">
        <w:rPr>
          <w:sz w:val="20"/>
          <w:szCs w:val="20"/>
        </w:rPr>
        <w:t xml:space="preserve">OEUK </w:t>
      </w:r>
      <w:r w:rsidR="002023B0" w:rsidRPr="007A6D7E">
        <w:rPr>
          <w:sz w:val="20"/>
          <w:szCs w:val="20"/>
          <w:u w:val="single"/>
        </w:rPr>
        <w:t>Guideline on Decommissioning Cost Estimation</w:t>
      </w:r>
      <w:r w:rsidR="002023B0" w:rsidRPr="002023B0">
        <w:rPr>
          <w:sz w:val="20"/>
          <w:szCs w:val="20"/>
        </w:rPr>
        <w:t xml:space="preserve"> </w:t>
      </w:r>
      <w:r w:rsidR="002023B0" w:rsidRPr="007A6D7E">
        <w:rPr>
          <w:i/>
          <w:iCs/>
          <w:sz w:val="20"/>
          <w:szCs w:val="20"/>
        </w:rPr>
        <w:t>(Reference 1</w:t>
      </w:r>
      <w:r w:rsidR="002023B0">
        <w:rPr>
          <w:i/>
          <w:iCs/>
          <w:sz w:val="20"/>
          <w:szCs w:val="20"/>
        </w:rPr>
        <w:t xml:space="preserve">) </w:t>
      </w:r>
      <w:r w:rsidR="002023B0">
        <w:rPr>
          <w:sz w:val="20"/>
          <w:szCs w:val="20"/>
        </w:rPr>
        <w:t>provides a</w:t>
      </w:r>
      <w:r w:rsidR="00B72292">
        <w:rPr>
          <w:sz w:val="20"/>
          <w:szCs w:val="20"/>
        </w:rPr>
        <w:t xml:space="preserve"> useful framework from which O</w:t>
      </w:r>
      <w:r w:rsidR="00EF285C" w:rsidRPr="00E25D88">
        <w:rPr>
          <w:sz w:val="20"/>
          <w:szCs w:val="20"/>
        </w:rPr>
        <w:t>perators can independently develop comprehensive decommissioning cost estimates with a hig</w:t>
      </w:r>
      <w:r w:rsidR="002E5FBF">
        <w:rPr>
          <w:sz w:val="20"/>
          <w:szCs w:val="20"/>
        </w:rPr>
        <w:t xml:space="preserve">h degree of </w:t>
      </w:r>
      <w:r w:rsidR="002E5FBF" w:rsidRPr="002E5FBF">
        <w:rPr>
          <w:sz w:val="20"/>
          <w:szCs w:val="20"/>
        </w:rPr>
        <w:t>consistency</w:t>
      </w:r>
      <w:r w:rsidR="002023B0">
        <w:rPr>
          <w:sz w:val="20"/>
          <w:szCs w:val="20"/>
        </w:rPr>
        <w:t>.</w:t>
      </w:r>
    </w:p>
    <w:p w14:paraId="6722123B" w14:textId="77777777" w:rsidR="00AF5731" w:rsidRPr="002E5FBF" w:rsidRDefault="00AF5731" w:rsidP="005B3882">
      <w:pPr>
        <w:pStyle w:val="BodyText"/>
        <w:spacing w:before="1"/>
        <w:ind w:left="426" w:right="432"/>
        <w:jc w:val="both"/>
        <w:rPr>
          <w:sz w:val="20"/>
          <w:szCs w:val="20"/>
        </w:rPr>
      </w:pPr>
    </w:p>
    <w:p w14:paraId="355FBDA9" w14:textId="77777777" w:rsidR="007D61A1" w:rsidRPr="00E25D88" w:rsidRDefault="007D61A1" w:rsidP="00E25D88">
      <w:pPr>
        <w:pStyle w:val="BodyText"/>
        <w:spacing w:before="1"/>
        <w:ind w:left="718" w:right="432"/>
        <w:jc w:val="both"/>
        <w:rPr>
          <w:sz w:val="20"/>
          <w:szCs w:val="20"/>
        </w:rPr>
      </w:pPr>
    </w:p>
    <w:p w14:paraId="34FBDA5B" w14:textId="7AFDF4C9" w:rsidR="007D61A1" w:rsidRDefault="00EF285C" w:rsidP="005B3882">
      <w:pPr>
        <w:pStyle w:val="BodyText"/>
        <w:spacing w:before="1"/>
        <w:ind w:left="426" w:right="432"/>
        <w:jc w:val="both"/>
        <w:rPr>
          <w:sz w:val="20"/>
          <w:szCs w:val="20"/>
        </w:rPr>
      </w:pPr>
      <w:r w:rsidRPr="00E25D88">
        <w:rPr>
          <w:sz w:val="20"/>
          <w:szCs w:val="20"/>
        </w:rPr>
        <w:t xml:space="preserve">The guidelines provide a </w:t>
      </w:r>
      <w:r w:rsidR="002E5FBF">
        <w:rPr>
          <w:sz w:val="20"/>
          <w:szCs w:val="20"/>
        </w:rPr>
        <w:t>work breakdown structure (</w:t>
      </w:r>
      <w:r w:rsidRPr="00E25D88">
        <w:rPr>
          <w:sz w:val="20"/>
          <w:szCs w:val="20"/>
        </w:rPr>
        <w:t>WBS</w:t>
      </w:r>
      <w:r w:rsidR="002E5FBF">
        <w:rPr>
          <w:sz w:val="20"/>
          <w:szCs w:val="20"/>
        </w:rPr>
        <w:t xml:space="preserve">) </w:t>
      </w:r>
      <w:r w:rsidRPr="00E25D88">
        <w:rPr>
          <w:sz w:val="20"/>
          <w:szCs w:val="20"/>
        </w:rPr>
        <w:t xml:space="preserve">for the </w:t>
      </w:r>
      <w:proofErr w:type="gramStart"/>
      <w:r w:rsidR="009B1D7C">
        <w:rPr>
          <w:sz w:val="20"/>
          <w:szCs w:val="20"/>
        </w:rPr>
        <w:t>11</w:t>
      </w:r>
      <w:proofErr w:type="gramEnd"/>
      <w:r w:rsidR="009B1D7C">
        <w:rPr>
          <w:sz w:val="20"/>
          <w:szCs w:val="20"/>
        </w:rPr>
        <w:t xml:space="preserve"> </w:t>
      </w:r>
      <w:r w:rsidRPr="00E25D88">
        <w:rPr>
          <w:sz w:val="20"/>
          <w:szCs w:val="20"/>
        </w:rPr>
        <w:t>major decommissioning cost groupings. The various stages involved in the WBS are</w:t>
      </w:r>
      <w:r w:rsidR="009B1D7C">
        <w:rPr>
          <w:sz w:val="20"/>
          <w:szCs w:val="20"/>
        </w:rPr>
        <w:t xml:space="preserve"> summari</w:t>
      </w:r>
      <w:r w:rsidR="00AF5731">
        <w:rPr>
          <w:sz w:val="20"/>
          <w:szCs w:val="20"/>
        </w:rPr>
        <w:t>s</w:t>
      </w:r>
      <w:r w:rsidR="009B1D7C">
        <w:rPr>
          <w:sz w:val="20"/>
          <w:szCs w:val="20"/>
        </w:rPr>
        <w:t xml:space="preserve">ed in the below extract from the OEUK </w:t>
      </w:r>
      <w:r w:rsidR="001115D7" w:rsidRPr="00EE472F">
        <w:rPr>
          <w:sz w:val="20"/>
          <w:szCs w:val="20"/>
          <w:u w:val="single"/>
        </w:rPr>
        <w:t>Decommissioning Work Breakdown Structure Guidelines</w:t>
      </w:r>
      <w:r w:rsidR="001115D7">
        <w:rPr>
          <w:sz w:val="20"/>
          <w:szCs w:val="20"/>
        </w:rPr>
        <w:t xml:space="preserve"> </w:t>
      </w:r>
      <w:r w:rsidR="001115D7" w:rsidRPr="00EE472F">
        <w:rPr>
          <w:i/>
          <w:iCs/>
          <w:sz w:val="20"/>
          <w:szCs w:val="20"/>
        </w:rPr>
        <w:t xml:space="preserve">(Reference </w:t>
      </w:r>
      <w:r w:rsidR="00941387" w:rsidRPr="00EE472F">
        <w:rPr>
          <w:i/>
          <w:iCs/>
          <w:sz w:val="20"/>
          <w:szCs w:val="20"/>
        </w:rPr>
        <w:t>4</w:t>
      </w:r>
      <w:r w:rsidR="001115D7" w:rsidRPr="00EE472F">
        <w:rPr>
          <w:i/>
          <w:iCs/>
          <w:sz w:val="20"/>
          <w:szCs w:val="20"/>
        </w:rPr>
        <w:t>)</w:t>
      </w:r>
      <w:r w:rsidR="00C062C6" w:rsidRPr="00EE472F">
        <w:rPr>
          <w:i/>
          <w:iCs/>
          <w:sz w:val="20"/>
          <w:szCs w:val="20"/>
        </w:rPr>
        <w:t>.</w:t>
      </w:r>
    </w:p>
    <w:p w14:paraId="3CBA6B8F" w14:textId="7BD14A72" w:rsidR="00C062C6" w:rsidRDefault="00C062C6" w:rsidP="005B3882">
      <w:pPr>
        <w:pStyle w:val="BodyText"/>
        <w:spacing w:before="1"/>
        <w:ind w:left="426" w:right="432"/>
        <w:jc w:val="both"/>
        <w:rPr>
          <w:sz w:val="20"/>
          <w:szCs w:val="20"/>
        </w:rPr>
      </w:pPr>
    </w:p>
    <w:p w14:paraId="3CF4A65B" w14:textId="7BA4ADCA" w:rsidR="007D61A1" w:rsidRDefault="00C062C6" w:rsidP="00EE472F">
      <w:pPr>
        <w:pStyle w:val="BodyText"/>
        <w:ind w:left="426" w:right="431"/>
        <w:jc w:val="both"/>
        <w:rPr>
          <w:sz w:val="21"/>
        </w:rPr>
      </w:pPr>
      <w:r w:rsidRPr="00E25D88">
        <w:rPr>
          <w:sz w:val="20"/>
          <w:szCs w:val="20"/>
        </w:rPr>
        <w:t xml:space="preserve">The number of stages used will differ depending on the decommissioning complexity of each field. It </w:t>
      </w:r>
      <w:proofErr w:type="gramStart"/>
      <w:r w:rsidRPr="00E25D88">
        <w:rPr>
          <w:sz w:val="20"/>
          <w:szCs w:val="20"/>
        </w:rPr>
        <w:t>is recommended</w:t>
      </w:r>
      <w:proofErr w:type="gramEnd"/>
      <w:r w:rsidRPr="00E25D88">
        <w:rPr>
          <w:sz w:val="20"/>
          <w:szCs w:val="20"/>
        </w:rPr>
        <w:t xml:space="preserve"> when preparing AFE’s reference is made to the above where practical, thereby improving transparency in cost reporting.</w:t>
      </w:r>
    </w:p>
    <w:p w14:paraId="399403A1" w14:textId="77777777" w:rsidR="009B1D7C" w:rsidRPr="00EE472F" w:rsidRDefault="009B1D7C" w:rsidP="00EE472F">
      <w:pPr>
        <w:pStyle w:val="ListParagraph"/>
        <w:rPr>
          <w:sz w:val="20"/>
          <w:szCs w:val="20"/>
        </w:rPr>
      </w:pPr>
    </w:p>
    <w:p w14:paraId="2AE91075" w14:textId="77777777" w:rsidR="00C062C6" w:rsidRDefault="00C062C6">
      <w:pPr>
        <w:tabs>
          <w:tab w:val="left" w:pos="1560"/>
        </w:tabs>
        <w:rPr>
          <w:sz w:val="20"/>
          <w:szCs w:val="20"/>
        </w:rPr>
        <w:sectPr w:rsidR="00C062C6">
          <w:footerReference w:type="default" r:id="rId13"/>
          <w:pgSz w:w="11910" w:h="16840"/>
          <w:pgMar w:top="1620" w:right="980" w:bottom="1160" w:left="700" w:header="605" w:footer="963" w:gutter="0"/>
          <w:cols w:space="720"/>
        </w:sectPr>
      </w:pPr>
    </w:p>
    <w:p w14:paraId="315FD897" w14:textId="77777777" w:rsidR="00C062C6" w:rsidRDefault="00C062C6">
      <w:pPr>
        <w:tabs>
          <w:tab w:val="left" w:pos="1560"/>
        </w:tabs>
        <w:rPr>
          <w:noProof/>
        </w:rPr>
      </w:pPr>
    </w:p>
    <w:p w14:paraId="356674D8" w14:textId="77777777" w:rsidR="00C062C6" w:rsidRDefault="00C062C6">
      <w:pPr>
        <w:tabs>
          <w:tab w:val="left" w:pos="1560"/>
        </w:tabs>
        <w:rPr>
          <w:noProof/>
        </w:rPr>
      </w:pPr>
    </w:p>
    <w:p w14:paraId="1F627468" w14:textId="77777777" w:rsidR="00C062C6" w:rsidRDefault="00C062C6">
      <w:pPr>
        <w:tabs>
          <w:tab w:val="left" w:pos="1560"/>
        </w:tabs>
        <w:rPr>
          <w:noProof/>
        </w:rPr>
      </w:pPr>
    </w:p>
    <w:p w14:paraId="12EDF8C3" w14:textId="77777777" w:rsidR="00B85999" w:rsidRDefault="00B85999">
      <w:pPr>
        <w:tabs>
          <w:tab w:val="left" w:pos="1560"/>
        </w:tabs>
        <w:rPr>
          <w:sz w:val="20"/>
          <w:szCs w:val="20"/>
        </w:rPr>
      </w:pPr>
    </w:p>
    <w:p w14:paraId="43818E4C" w14:textId="77777777" w:rsidR="00B85999" w:rsidRDefault="00B85999">
      <w:pPr>
        <w:tabs>
          <w:tab w:val="left" w:pos="1560"/>
        </w:tabs>
        <w:rPr>
          <w:sz w:val="20"/>
          <w:szCs w:val="20"/>
        </w:rPr>
      </w:pPr>
    </w:p>
    <w:p w14:paraId="4A292A2D" w14:textId="134B1C18" w:rsidR="00C062C6" w:rsidRDefault="00B85999">
      <w:pPr>
        <w:tabs>
          <w:tab w:val="left" w:pos="1560"/>
        </w:tabs>
        <w:rPr>
          <w:sz w:val="20"/>
          <w:szCs w:val="20"/>
        </w:rPr>
        <w:sectPr w:rsidR="00C062C6" w:rsidSect="00EE472F">
          <w:pgSz w:w="16840" w:h="11910" w:orient="landscape"/>
          <w:pgMar w:top="697" w:right="1622" w:bottom="981" w:left="1162" w:header="607" w:footer="964" w:gutter="0"/>
          <w:cols w:space="720"/>
        </w:sectPr>
      </w:pPr>
      <w:r>
        <w:rPr>
          <w:noProof/>
        </w:rPr>
        <w:drawing>
          <wp:inline distT="0" distB="0" distL="0" distR="0" wp14:anchorId="7AA9F58B" wp14:editId="6835044C">
            <wp:extent cx="9341307" cy="5529532"/>
            <wp:effectExtent l="0" t="0" r="0" b="0"/>
            <wp:docPr id="1" name="Picture 1"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imeline&#10;&#10;Description automatically generated"/>
                    <pic:cNvPicPr/>
                  </pic:nvPicPr>
                  <pic:blipFill>
                    <a:blip r:embed="rId14"/>
                    <a:stretch>
                      <a:fillRect/>
                    </a:stretch>
                  </pic:blipFill>
                  <pic:spPr>
                    <a:xfrm>
                      <a:off x="0" y="0"/>
                      <a:ext cx="9367143" cy="5544826"/>
                    </a:xfrm>
                    <a:prstGeom prst="rect">
                      <a:avLst/>
                    </a:prstGeom>
                  </pic:spPr>
                </pic:pic>
              </a:graphicData>
            </a:graphic>
          </wp:inline>
        </w:drawing>
      </w:r>
    </w:p>
    <w:p w14:paraId="30EF6474" w14:textId="45B47B6E" w:rsidR="00AF5731" w:rsidRDefault="00AF5731" w:rsidP="00EE472F">
      <w:pPr>
        <w:tabs>
          <w:tab w:val="left" w:pos="1560"/>
        </w:tabs>
      </w:pPr>
    </w:p>
    <w:p w14:paraId="3224969F" w14:textId="77777777" w:rsidR="00AF5731" w:rsidRDefault="00AF5731">
      <w:pPr>
        <w:pStyle w:val="BodyText"/>
        <w:ind w:left="718" w:right="431"/>
        <w:jc w:val="both"/>
        <w:rPr>
          <w:sz w:val="20"/>
          <w:szCs w:val="20"/>
        </w:rPr>
      </w:pPr>
    </w:p>
    <w:p w14:paraId="0456EB17" w14:textId="77777777" w:rsidR="005B3882" w:rsidRPr="005B4E3D" w:rsidRDefault="005B3882" w:rsidP="005B3882">
      <w:pPr>
        <w:pStyle w:val="Heading1"/>
        <w:numPr>
          <w:ilvl w:val="0"/>
          <w:numId w:val="13"/>
        </w:numPr>
        <w:ind w:left="426" w:hanging="284"/>
      </w:pPr>
      <w:r>
        <w:t>Audit</w:t>
      </w:r>
    </w:p>
    <w:p w14:paraId="15857420" w14:textId="77777777" w:rsidR="005B3882" w:rsidRDefault="005B3882">
      <w:pPr>
        <w:pStyle w:val="BodyText"/>
        <w:ind w:left="718" w:right="431"/>
        <w:jc w:val="both"/>
        <w:rPr>
          <w:sz w:val="20"/>
          <w:szCs w:val="20"/>
        </w:rPr>
      </w:pPr>
    </w:p>
    <w:p w14:paraId="3BC4ADE4" w14:textId="0D84F3C9" w:rsidR="005B3882" w:rsidRDefault="005B3882" w:rsidP="005B3882">
      <w:pPr>
        <w:pStyle w:val="BodyText"/>
        <w:ind w:left="426" w:right="431"/>
        <w:jc w:val="both"/>
        <w:rPr>
          <w:sz w:val="20"/>
          <w:szCs w:val="20"/>
        </w:rPr>
      </w:pPr>
      <w:r>
        <w:rPr>
          <w:sz w:val="20"/>
          <w:szCs w:val="20"/>
        </w:rPr>
        <w:t xml:space="preserve">Audit rights will </w:t>
      </w:r>
      <w:proofErr w:type="gramStart"/>
      <w:r>
        <w:rPr>
          <w:sz w:val="20"/>
          <w:szCs w:val="20"/>
        </w:rPr>
        <w:t>be stipulated</w:t>
      </w:r>
      <w:proofErr w:type="gramEnd"/>
      <w:r>
        <w:rPr>
          <w:sz w:val="20"/>
          <w:szCs w:val="20"/>
        </w:rPr>
        <w:t xml:space="preserve"> within each JOA. It </w:t>
      </w:r>
      <w:proofErr w:type="gramStart"/>
      <w:r>
        <w:rPr>
          <w:sz w:val="20"/>
          <w:szCs w:val="20"/>
        </w:rPr>
        <w:t>is recommended</w:t>
      </w:r>
      <w:proofErr w:type="gramEnd"/>
      <w:r>
        <w:rPr>
          <w:sz w:val="20"/>
          <w:szCs w:val="20"/>
        </w:rPr>
        <w:t xml:space="preserve"> the frequency of the audit will be determined by the complexity of the project and spend value. </w:t>
      </w:r>
    </w:p>
    <w:p w14:paraId="408921F6" w14:textId="40B324B5" w:rsidR="00AF5731" w:rsidRDefault="00AF5731" w:rsidP="005B3882">
      <w:pPr>
        <w:pStyle w:val="BodyText"/>
        <w:ind w:left="426" w:right="431"/>
        <w:jc w:val="both"/>
        <w:rPr>
          <w:sz w:val="20"/>
          <w:szCs w:val="20"/>
        </w:rPr>
      </w:pPr>
    </w:p>
    <w:p w14:paraId="33941084" w14:textId="524A6CD9" w:rsidR="00AF5731" w:rsidRDefault="00AF5731" w:rsidP="005B3882">
      <w:pPr>
        <w:pStyle w:val="BodyText"/>
        <w:ind w:left="426" w:right="431"/>
        <w:jc w:val="both"/>
        <w:rPr>
          <w:sz w:val="20"/>
          <w:szCs w:val="20"/>
        </w:rPr>
      </w:pPr>
    </w:p>
    <w:p w14:paraId="7075221C" w14:textId="2C32BE3D" w:rsidR="00AF5731" w:rsidRDefault="00AF5731" w:rsidP="00C062C6">
      <w:pPr>
        <w:pStyle w:val="BodyText"/>
        <w:ind w:right="431"/>
        <w:jc w:val="both"/>
        <w:rPr>
          <w:sz w:val="20"/>
          <w:szCs w:val="20"/>
        </w:rPr>
      </w:pPr>
    </w:p>
    <w:p w14:paraId="31B900A1" w14:textId="77777777" w:rsidR="00C062C6" w:rsidRPr="00E25D88" w:rsidRDefault="00C062C6" w:rsidP="00EE472F">
      <w:pPr>
        <w:pStyle w:val="BodyText"/>
        <w:ind w:right="431"/>
        <w:jc w:val="both"/>
        <w:rPr>
          <w:sz w:val="20"/>
          <w:szCs w:val="20"/>
        </w:rPr>
      </w:pPr>
    </w:p>
    <w:p w14:paraId="034FDB80" w14:textId="77777777" w:rsidR="007D61A1" w:rsidRDefault="007D61A1">
      <w:pPr>
        <w:pStyle w:val="BodyText"/>
        <w:rPr>
          <w:sz w:val="20"/>
        </w:rPr>
      </w:pPr>
      <w:bookmarkStart w:id="4" w:name="_TOC_250006"/>
      <w:bookmarkEnd w:id="4"/>
    </w:p>
    <w:p w14:paraId="29A45E8C" w14:textId="77777777" w:rsidR="007D61A1" w:rsidRPr="005B4E3D" w:rsidRDefault="00EF285C" w:rsidP="005B3882">
      <w:pPr>
        <w:pStyle w:val="Heading1"/>
        <w:numPr>
          <w:ilvl w:val="0"/>
          <w:numId w:val="13"/>
        </w:numPr>
        <w:ind w:left="426" w:hanging="284"/>
      </w:pPr>
      <w:bookmarkStart w:id="5" w:name="_TOC_250005"/>
      <w:r w:rsidRPr="005B4E3D">
        <w:t xml:space="preserve">Standards and Frequency of </w:t>
      </w:r>
      <w:bookmarkEnd w:id="5"/>
      <w:r w:rsidRPr="005B4E3D">
        <w:t>Estimation</w:t>
      </w:r>
    </w:p>
    <w:p w14:paraId="21CBD850" w14:textId="77777777" w:rsidR="007D61A1" w:rsidRDefault="007D61A1">
      <w:pPr>
        <w:pStyle w:val="BodyText"/>
        <w:spacing w:before="10"/>
        <w:rPr>
          <w:b/>
          <w:sz w:val="21"/>
        </w:rPr>
      </w:pPr>
    </w:p>
    <w:p w14:paraId="24362911" w14:textId="6585E1AF" w:rsidR="007D61A1" w:rsidRPr="00E25D88" w:rsidRDefault="00EF285C" w:rsidP="005B3882">
      <w:pPr>
        <w:pStyle w:val="BodyText"/>
        <w:ind w:left="426" w:right="690"/>
        <w:rPr>
          <w:sz w:val="20"/>
          <w:szCs w:val="20"/>
        </w:rPr>
      </w:pPr>
      <w:r w:rsidRPr="00DC59B8">
        <w:rPr>
          <w:sz w:val="20"/>
          <w:szCs w:val="20"/>
        </w:rPr>
        <w:t xml:space="preserve">It is recommended that decommissioning estimates should be modelled on a </w:t>
      </w:r>
      <w:r w:rsidR="00DC59B8" w:rsidRPr="00EE472F">
        <w:rPr>
          <w:sz w:val="20"/>
          <w:szCs w:val="20"/>
        </w:rPr>
        <w:t>deterministic</w:t>
      </w:r>
      <w:r w:rsidR="00DC59B8" w:rsidRPr="00DC59B8">
        <w:rPr>
          <w:sz w:val="20"/>
          <w:szCs w:val="20"/>
        </w:rPr>
        <w:t xml:space="preserve"> </w:t>
      </w:r>
      <w:r w:rsidRPr="00DC59B8">
        <w:rPr>
          <w:sz w:val="20"/>
          <w:szCs w:val="20"/>
        </w:rPr>
        <w:t xml:space="preserve">basis rather than </w:t>
      </w:r>
      <w:r w:rsidR="004026BC">
        <w:rPr>
          <w:sz w:val="20"/>
          <w:szCs w:val="20"/>
        </w:rPr>
        <w:t>probabilistic</w:t>
      </w:r>
      <w:r w:rsidRPr="00DC59B8">
        <w:rPr>
          <w:sz w:val="20"/>
          <w:szCs w:val="20"/>
        </w:rPr>
        <w:t xml:space="preserve">, capturing cost and duration assumptions such as rig rates, barge vessels, and DSV’s </w:t>
      </w:r>
      <w:proofErr w:type="gramStart"/>
      <w:r w:rsidRPr="00DC59B8">
        <w:rPr>
          <w:sz w:val="20"/>
          <w:szCs w:val="20"/>
        </w:rPr>
        <w:t>etc.</w:t>
      </w:r>
      <w:r w:rsidR="004026BC">
        <w:rPr>
          <w:sz w:val="20"/>
          <w:szCs w:val="20"/>
        </w:rPr>
        <w:t xml:space="preserve">  </w:t>
      </w:r>
      <w:proofErr w:type="gramEnd"/>
      <w:r w:rsidR="004026BC">
        <w:rPr>
          <w:sz w:val="20"/>
          <w:szCs w:val="20"/>
        </w:rPr>
        <w:t>Assumptions</w:t>
      </w:r>
      <w:r w:rsidRPr="00DC59B8">
        <w:rPr>
          <w:sz w:val="20"/>
          <w:szCs w:val="20"/>
        </w:rPr>
        <w:t xml:space="preserve"> should be determined based on market research and the P50 output used to calculate the Asset Retirement Obligation.</w:t>
      </w:r>
    </w:p>
    <w:p w14:paraId="4CD226E6" w14:textId="77777777" w:rsidR="007D61A1" w:rsidRDefault="007D61A1" w:rsidP="00E25D88">
      <w:pPr>
        <w:pStyle w:val="BodyText"/>
        <w:ind w:left="718" w:right="690"/>
        <w:rPr>
          <w:sz w:val="20"/>
          <w:szCs w:val="20"/>
        </w:rPr>
      </w:pPr>
    </w:p>
    <w:p w14:paraId="352B2876" w14:textId="77777777" w:rsidR="007D61A1" w:rsidRDefault="00EF285C" w:rsidP="005B3882">
      <w:pPr>
        <w:pStyle w:val="BodyText"/>
        <w:ind w:left="718" w:right="690" w:hanging="292"/>
      </w:pPr>
      <w:r w:rsidRPr="00E25D88">
        <w:rPr>
          <w:sz w:val="20"/>
          <w:szCs w:val="20"/>
        </w:rPr>
        <w:t>Guidance on standard and frequency of estimation is as follows</w:t>
      </w:r>
      <w:r w:rsidR="005B3882">
        <w:t>:</w:t>
      </w:r>
    </w:p>
    <w:p w14:paraId="53BC07B7" w14:textId="5C2FF248" w:rsidR="007D61A1" w:rsidRPr="005B3882" w:rsidRDefault="00EF285C" w:rsidP="00FE4C33">
      <w:pPr>
        <w:pStyle w:val="ListParagraph"/>
        <w:numPr>
          <w:ilvl w:val="0"/>
          <w:numId w:val="23"/>
        </w:numPr>
        <w:spacing w:before="102" w:line="237" w:lineRule="auto"/>
        <w:ind w:left="709" w:right="715" w:hanging="283"/>
        <w:rPr>
          <w:sz w:val="20"/>
        </w:rPr>
      </w:pPr>
      <w:r w:rsidRPr="005B3882">
        <w:rPr>
          <w:sz w:val="20"/>
        </w:rPr>
        <w:t>For fields being abandoned within 5 years it is recommended the cost estimate is reviewed at least</w:t>
      </w:r>
      <w:r w:rsidRPr="005B3882">
        <w:rPr>
          <w:spacing w:val="-7"/>
          <w:sz w:val="20"/>
        </w:rPr>
        <w:t xml:space="preserve"> </w:t>
      </w:r>
      <w:proofErr w:type="gramStart"/>
      <w:r w:rsidRPr="005B3882">
        <w:rPr>
          <w:sz w:val="20"/>
        </w:rPr>
        <w:t>annually</w:t>
      </w:r>
      <w:r w:rsidR="005B3882" w:rsidRPr="005B3882">
        <w:rPr>
          <w:sz w:val="20"/>
        </w:rPr>
        <w:t>;</w:t>
      </w:r>
      <w:proofErr w:type="gramEnd"/>
    </w:p>
    <w:p w14:paraId="6F80D0F1" w14:textId="77777777" w:rsidR="007D61A1" w:rsidRPr="00C25E3E" w:rsidRDefault="007D61A1" w:rsidP="00C25E3E">
      <w:pPr>
        <w:pStyle w:val="BodyText"/>
        <w:spacing w:before="3"/>
        <w:ind w:left="1418" w:hanging="709"/>
        <w:rPr>
          <w:sz w:val="20"/>
        </w:rPr>
      </w:pPr>
    </w:p>
    <w:p w14:paraId="3BDCA91C" w14:textId="77777777" w:rsidR="007D61A1" w:rsidRPr="005B3882" w:rsidRDefault="00EF285C" w:rsidP="00FE4C33">
      <w:pPr>
        <w:pStyle w:val="ListParagraph"/>
        <w:numPr>
          <w:ilvl w:val="0"/>
          <w:numId w:val="23"/>
        </w:numPr>
        <w:spacing w:line="237" w:lineRule="auto"/>
        <w:ind w:left="709" w:right="717" w:hanging="283"/>
        <w:rPr>
          <w:sz w:val="20"/>
        </w:rPr>
      </w:pPr>
      <w:r w:rsidRPr="005B3882">
        <w:rPr>
          <w:sz w:val="20"/>
        </w:rPr>
        <w:t>Key assumptions underpinning decommissioning cost estimates shoul</w:t>
      </w:r>
      <w:r w:rsidR="00714134" w:rsidRPr="005B3882">
        <w:rPr>
          <w:sz w:val="20"/>
        </w:rPr>
        <w:t>d be documented, such as: rig/</w:t>
      </w:r>
      <w:r w:rsidRPr="005B3882">
        <w:rPr>
          <w:sz w:val="20"/>
        </w:rPr>
        <w:t>barge rates, and assumed non-productive</w:t>
      </w:r>
      <w:r w:rsidRPr="005B3882">
        <w:rPr>
          <w:spacing w:val="-16"/>
          <w:sz w:val="20"/>
        </w:rPr>
        <w:t xml:space="preserve"> </w:t>
      </w:r>
      <w:proofErr w:type="gramStart"/>
      <w:r w:rsidRPr="005B3882">
        <w:rPr>
          <w:sz w:val="20"/>
        </w:rPr>
        <w:t>time</w:t>
      </w:r>
      <w:r w:rsidR="005B3882" w:rsidRPr="005B3882">
        <w:rPr>
          <w:sz w:val="20"/>
        </w:rPr>
        <w:t>;</w:t>
      </w:r>
      <w:proofErr w:type="gramEnd"/>
    </w:p>
    <w:p w14:paraId="1B505EE1" w14:textId="77777777" w:rsidR="007D61A1" w:rsidRPr="00C25E3E" w:rsidRDefault="007D61A1" w:rsidP="00C25E3E">
      <w:pPr>
        <w:pStyle w:val="BodyText"/>
        <w:spacing w:before="3"/>
        <w:ind w:left="1418" w:hanging="709"/>
        <w:rPr>
          <w:sz w:val="20"/>
        </w:rPr>
      </w:pPr>
    </w:p>
    <w:p w14:paraId="7554B10E" w14:textId="77777777" w:rsidR="007D61A1" w:rsidRPr="005B3882" w:rsidRDefault="00EF285C" w:rsidP="00FE4C33">
      <w:pPr>
        <w:pStyle w:val="ListParagraph"/>
        <w:numPr>
          <w:ilvl w:val="0"/>
          <w:numId w:val="23"/>
        </w:numPr>
        <w:spacing w:line="237" w:lineRule="auto"/>
        <w:ind w:left="709" w:right="715" w:hanging="283"/>
        <w:rPr>
          <w:sz w:val="20"/>
        </w:rPr>
      </w:pPr>
      <w:r w:rsidRPr="005B3882">
        <w:rPr>
          <w:sz w:val="20"/>
        </w:rPr>
        <w:t xml:space="preserve">Lessons learned from experience to date should be applied in updating future </w:t>
      </w:r>
      <w:proofErr w:type="gramStart"/>
      <w:r w:rsidRPr="005B3882">
        <w:rPr>
          <w:sz w:val="20"/>
        </w:rPr>
        <w:t>estimates</w:t>
      </w:r>
      <w:r w:rsidR="005B3882" w:rsidRPr="005B3882">
        <w:rPr>
          <w:sz w:val="20"/>
        </w:rPr>
        <w:t>;</w:t>
      </w:r>
      <w:proofErr w:type="gramEnd"/>
    </w:p>
    <w:p w14:paraId="4D1965B0" w14:textId="77777777" w:rsidR="007D61A1" w:rsidRPr="00C25E3E" w:rsidRDefault="007D61A1" w:rsidP="00C25E3E">
      <w:pPr>
        <w:pStyle w:val="BodyText"/>
        <w:spacing w:before="11"/>
        <w:ind w:left="1418" w:hanging="709"/>
        <w:rPr>
          <w:sz w:val="20"/>
        </w:rPr>
      </w:pPr>
    </w:p>
    <w:p w14:paraId="625EF7AA" w14:textId="4C265636" w:rsidR="007D61A1" w:rsidRDefault="00EF285C" w:rsidP="00FE4C33">
      <w:pPr>
        <w:pStyle w:val="ListParagraph"/>
        <w:numPr>
          <w:ilvl w:val="0"/>
          <w:numId w:val="23"/>
        </w:numPr>
        <w:ind w:left="709" w:right="716" w:hanging="283"/>
        <w:rPr>
          <w:sz w:val="20"/>
        </w:rPr>
      </w:pPr>
      <w:r w:rsidRPr="005B3882">
        <w:rPr>
          <w:sz w:val="20"/>
        </w:rPr>
        <w:t xml:space="preserve">It </w:t>
      </w:r>
      <w:proofErr w:type="gramStart"/>
      <w:r w:rsidRPr="005B3882">
        <w:rPr>
          <w:sz w:val="20"/>
        </w:rPr>
        <w:t>is recommended</w:t>
      </w:r>
      <w:proofErr w:type="gramEnd"/>
      <w:r w:rsidRPr="005B3882">
        <w:rPr>
          <w:sz w:val="20"/>
        </w:rPr>
        <w:t xml:space="preserve"> a minimum range of three years be considered in estimating rig and vessel</w:t>
      </w:r>
      <w:r w:rsidRPr="005B3882">
        <w:rPr>
          <w:spacing w:val="-4"/>
          <w:sz w:val="20"/>
        </w:rPr>
        <w:t xml:space="preserve"> </w:t>
      </w:r>
      <w:r w:rsidR="00C266DC">
        <w:rPr>
          <w:spacing w:val="-4"/>
          <w:sz w:val="20"/>
        </w:rPr>
        <w:t>r</w:t>
      </w:r>
      <w:r w:rsidRPr="005B3882">
        <w:rPr>
          <w:sz w:val="20"/>
        </w:rPr>
        <w:t>ates.</w:t>
      </w:r>
    </w:p>
    <w:p w14:paraId="4EE3AF81" w14:textId="77777777" w:rsidR="00CE0EB9" w:rsidRPr="00EE472F" w:rsidRDefault="00CE0EB9" w:rsidP="00EE472F">
      <w:pPr>
        <w:pStyle w:val="ListParagraph"/>
        <w:rPr>
          <w:sz w:val="20"/>
        </w:rPr>
      </w:pPr>
    </w:p>
    <w:p w14:paraId="75C62E1B" w14:textId="2090A57D" w:rsidR="00CE0EB9" w:rsidRDefault="00CE0EB9" w:rsidP="00FE4C33">
      <w:pPr>
        <w:pStyle w:val="ListParagraph"/>
        <w:numPr>
          <w:ilvl w:val="0"/>
          <w:numId w:val="23"/>
        </w:numPr>
        <w:ind w:left="709" w:right="716" w:hanging="283"/>
        <w:rPr>
          <w:sz w:val="20"/>
        </w:rPr>
      </w:pPr>
      <w:r>
        <w:rPr>
          <w:sz w:val="20"/>
        </w:rPr>
        <w:t xml:space="preserve">Estimates will reflect a wide range of uncertainties and OEUK recommend referencing the </w:t>
      </w:r>
      <w:r w:rsidRPr="00EE472F">
        <w:rPr>
          <w:sz w:val="20"/>
          <w:u w:val="single"/>
        </w:rPr>
        <w:t>Associate for the Advancement of Cost Engineering (AACE) Estimate Class Ranges</w:t>
      </w:r>
      <w:r w:rsidR="001115D7">
        <w:rPr>
          <w:sz w:val="20"/>
        </w:rPr>
        <w:t xml:space="preserve"> </w:t>
      </w:r>
      <w:r w:rsidR="001115D7" w:rsidRPr="00EE472F">
        <w:rPr>
          <w:i/>
          <w:iCs/>
          <w:sz w:val="20"/>
        </w:rPr>
        <w:t xml:space="preserve">(Reference </w:t>
      </w:r>
      <w:r w:rsidR="00941387" w:rsidRPr="00EE472F">
        <w:rPr>
          <w:i/>
          <w:iCs/>
          <w:sz w:val="20"/>
        </w:rPr>
        <w:t>5</w:t>
      </w:r>
      <w:r w:rsidR="001115D7" w:rsidRPr="00EE472F">
        <w:rPr>
          <w:i/>
          <w:iCs/>
          <w:sz w:val="20"/>
        </w:rPr>
        <w:t>)</w:t>
      </w:r>
    </w:p>
    <w:p w14:paraId="385DB43F" w14:textId="77777777" w:rsidR="00CE0EB9" w:rsidRPr="00EE472F" w:rsidRDefault="00CE0EB9" w:rsidP="00EE472F">
      <w:pPr>
        <w:pStyle w:val="ListParagraph"/>
        <w:rPr>
          <w:sz w:val="20"/>
        </w:rPr>
      </w:pPr>
    </w:p>
    <w:p w14:paraId="276DBFA4" w14:textId="74C87A1E" w:rsidR="00CE0EB9" w:rsidRDefault="001115D7" w:rsidP="00EE472F">
      <w:pPr>
        <w:pStyle w:val="ListParagraph"/>
        <w:ind w:left="709" w:right="716" w:firstLine="0"/>
        <w:rPr>
          <w:sz w:val="20"/>
        </w:rPr>
      </w:pPr>
      <w:r>
        <w:rPr>
          <w:noProof/>
        </w:rPr>
        <w:drawing>
          <wp:inline distT="0" distB="0" distL="0" distR="0" wp14:anchorId="4A01BD05" wp14:editId="6D9ACFE9">
            <wp:extent cx="3357349" cy="2637319"/>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358914" cy="2638548"/>
                    </a:xfrm>
                    <a:prstGeom prst="rect">
                      <a:avLst/>
                    </a:prstGeom>
                  </pic:spPr>
                </pic:pic>
              </a:graphicData>
            </a:graphic>
          </wp:inline>
        </w:drawing>
      </w:r>
    </w:p>
    <w:p w14:paraId="1D68A067" w14:textId="77777777" w:rsidR="005E4144" w:rsidRPr="00EE472F" w:rsidRDefault="005E4144" w:rsidP="00EE472F">
      <w:pPr>
        <w:pStyle w:val="ListParagraph"/>
        <w:rPr>
          <w:sz w:val="20"/>
        </w:rPr>
      </w:pPr>
    </w:p>
    <w:p w14:paraId="7691FA92" w14:textId="145EDC6E" w:rsidR="00CE0EB9" w:rsidRPr="00EE472F" w:rsidRDefault="005E4144" w:rsidP="00EE472F">
      <w:pPr>
        <w:pStyle w:val="BodyText"/>
        <w:ind w:left="709"/>
        <w:rPr>
          <w:sz w:val="20"/>
          <w:szCs w:val="20"/>
        </w:rPr>
      </w:pPr>
      <w:r w:rsidRPr="00EE472F">
        <w:rPr>
          <w:sz w:val="20"/>
          <w:szCs w:val="20"/>
        </w:rPr>
        <w:t>Annually, Operators are required to submit the</w:t>
      </w:r>
      <w:r w:rsidR="00AF5731">
        <w:rPr>
          <w:sz w:val="20"/>
          <w:szCs w:val="20"/>
        </w:rPr>
        <w:t xml:space="preserve"> </w:t>
      </w:r>
      <w:r w:rsidRPr="00EE472F">
        <w:rPr>
          <w:sz w:val="20"/>
          <w:szCs w:val="20"/>
        </w:rPr>
        <w:t xml:space="preserve">latest </w:t>
      </w:r>
      <w:r w:rsidR="004026BC">
        <w:rPr>
          <w:sz w:val="20"/>
          <w:szCs w:val="20"/>
        </w:rPr>
        <w:t>d</w:t>
      </w:r>
      <w:r w:rsidRPr="00EE472F">
        <w:rPr>
          <w:sz w:val="20"/>
          <w:szCs w:val="20"/>
        </w:rPr>
        <w:t xml:space="preserve">ecommissioning cost estimate as part of the annual </w:t>
      </w:r>
      <w:r w:rsidRPr="00EE472F">
        <w:rPr>
          <w:sz w:val="20"/>
          <w:szCs w:val="20"/>
          <w:u w:val="single"/>
        </w:rPr>
        <w:t xml:space="preserve">North Sea Transition Authority (NSTA) </w:t>
      </w:r>
      <w:r w:rsidR="00AF5731" w:rsidRPr="00EE472F">
        <w:rPr>
          <w:sz w:val="20"/>
          <w:szCs w:val="20"/>
          <w:u w:val="single"/>
        </w:rPr>
        <w:t xml:space="preserve">UKCS </w:t>
      </w:r>
      <w:r w:rsidRPr="00EE472F">
        <w:rPr>
          <w:sz w:val="20"/>
          <w:szCs w:val="20"/>
          <w:u w:val="single"/>
        </w:rPr>
        <w:t>Stewardship Survey</w:t>
      </w:r>
      <w:proofErr w:type="gramStart"/>
      <w:r w:rsidR="00CE0EB9" w:rsidRPr="00EE472F">
        <w:rPr>
          <w:sz w:val="20"/>
          <w:szCs w:val="20"/>
        </w:rPr>
        <w:t xml:space="preserve">.  </w:t>
      </w:r>
      <w:proofErr w:type="gramEnd"/>
      <w:r w:rsidR="00CE0EB9" w:rsidRPr="00EE472F">
        <w:rPr>
          <w:sz w:val="20"/>
          <w:szCs w:val="20"/>
        </w:rPr>
        <w:t>T</w:t>
      </w:r>
      <w:r w:rsidRPr="00EE472F">
        <w:rPr>
          <w:sz w:val="20"/>
          <w:szCs w:val="20"/>
        </w:rPr>
        <w:t xml:space="preserve">he Survey data will </w:t>
      </w:r>
      <w:proofErr w:type="gramStart"/>
      <w:r w:rsidRPr="00EE472F">
        <w:rPr>
          <w:sz w:val="20"/>
          <w:szCs w:val="20"/>
        </w:rPr>
        <w:t>be held</w:t>
      </w:r>
      <w:proofErr w:type="gramEnd"/>
      <w:r w:rsidRPr="00EE472F">
        <w:rPr>
          <w:sz w:val="20"/>
          <w:szCs w:val="20"/>
        </w:rPr>
        <w:t xml:space="preserve"> by the </w:t>
      </w:r>
      <w:r w:rsidR="00CE0EB9" w:rsidRPr="00EE472F">
        <w:rPr>
          <w:sz w:val="20"/>
          <w:szCs w:val="20"/>
        </w:rPr>
        <w:t>NSTA</w:t>
      </w:r>
      <w:r w:rsidRPr="00EE472F">
        <w:rPr>
          <w:sz w:val="20"/>
          <w:szCs w:val="20"/>
        </w:rPr>
        <w:t xml:space="preserve"> in accordance with the Energy Act 2016 and will be used, among other things, to inform asset stewardship reviews and provide meaningful insights into current and forecast activity in the UKCS</w:t>
      </w:r>
      <w:r w:rsidR="00AF5731">
        <w:rPr>
          <w:sz w:val="20"/>
          <w:szCs w:val="20"/>
        </w:rPr>
        <w:t>.</w:t>
      </w:r>
    </w:p>
    <w:p w14:paraId="2A5591BD" w14:textId="77777777" w:rsidR="004D68EC" w:rsidRPr="00EE472F" w:rsidRDefault="004D68EC" w:rsidP="00EE472F">
      <w:pPr>
        <w:pStyle w:val="BodyText"/>
        <w:ind w:left="709"/>
        <w:rPr>
          <w:sz w:val="20"/>
          <w:szCs w:val="20"/>
        </w:rPr>
      </w:pPr>
    </w:p>
    <w:p w14:paraId="10F5223D" w14:textId="21245D5F" w:rsidR="004D68EC" w:rsidRPr="00EE472F" w:rsidRDefault="00CE0EB9" w:rsidP="00EE472F">
      <w:pPr>
        <w:pStyle w:val="BodyText"/>
        <w:ind w:left="709"/>
        <w:rPr>
          <w:sz w:val="20"/>
          <w:szCs w:val="20"/>
        </w:rPr>
      </w:pPr>
      <w:r w:rsidRPr="00EE472F">
        <w:rPr>
          <w:sz w:val="20"/>
          <w:szCs w:val="20"/>
        </w:rPr>
        <w:t xml:space="preserve">Data for the </w:t>
      </w:r>
      <w:r w:rsidR="00AF5731">
        <w:rPr>
          <w:sz w:val="20"/>
          <w:szCs w:val="20"/>
        </w:rPr>
        <w:t xml:space="preserve">UKCS </w:t>
      </w:r>
      <w:r w:rsidRPr="00EE472F">
        <w:rPr>
          <w:sz w:val="20"/>
          <w:szCs w:val="20"/>
        </w:rPr>
        <w:t xml:space="preserve">Stewardship Survey </w:t>
      </w:r>
      <w:proofErr w:type="gramStart"/>
      <w:r w:rsidRPr="00EE472F">
        <w:rPr>
          <w:sz w:val="20"/>
          <w:szCs w:val="20"/>
        </w:rPr>
        <w:t>is collected</w:t>
      </w:r>
      <w:proofErr w:type="gramEnd"/>
      <w:r w:rsidRPr="00EE472F">
        <w:rPr>
          <w:sz w:val="20"/>
          <w:szCs w:val="20"/>
        </w:rPr>
        <w:t xml:space="preserve"> using the OE</w:t>
      </w:r>
      <w:r w:rsidR="001E7D7E" w:rsidRPr="00EE472F">
        <w:rPr>
          <w:sz w:val="20"/>
          <w:szCs w:val="20"/>
        </w:rPr>
        <w:t>U</w:t>
      </w:r>
      <w:r w:rsidRPr="00EE472F">
        <w:rPr>
          <w:sz w:val="20"/>
          <w:szCs w:val="20"/>
        </w:rPr>
        <w:t xml:space="preserve">K Work Breakdown Structure </w:t>
      </w:r>
      <w:r w:rsidR="004D68EC" w:rsidRPr="00EE472F">
        <w:rPr>
          <w:sz w:val="20"/>
          <w:szCs w:val="20"/>
        </w:rPr>
        <w:t xml:space="preserve"> </w:t>
      </w:r>
    </w:p>
    <w:p w14:paraId="7EEC790B" w14:textId="30D25AE0" w:rsidR="00CE0EB9" w:rsidRPr="00EE472F" w:rsidRDefault="00CE0EB9" w:rsidP="00EE472F">
      <w:pPr>
        <w:pStyle w:val="BodyText"/>
        <w:ind w:left="709"/>
        <w:rPr>
          <w:sz w:val="20"/>
          <w:szCs w:val="20"/>
        </w:rPr>
      </w:pPr>
      <w:r w:rsidRPr="00EE472F">
        <w:rPr>
          <w:sz w:val="20"/>
          <w:szCs w:val="20"/>
        </w:rPr>
        <w:t>and references the AACE estimate class ranges.</w:t>
      </w:r>
    </w:p>
    <w:p w14:paraId="6886997D" w14:textId="77777777" w:rsidR="00005C90" w:rsidRDefault="00005C90">
      <w:pPr>
        <w:pStyle w:val="BodyText"/>
        <w:rPr>
          <w:sz w:val="24"/>
        </w:rPr>
      </w:pPr>
    </w:p>
    <w:p w14:paraId="4A77F350" w14:textId="77777777" w:rsidR="007D61A1" w:rsidRPr="00F508D6" w:rsidRDefault="00EF285C" w:rsidP="00AF3E5B">
      <w:pPr>
        <w:pStyle w:val="Heading1"/>
        <w:numPr>
          <w:ilvl w:val="0"/>
          <w:numId w:val="13"/>
        </w:numPr>
      </w:pPr>
      <w:bookmarkStart w:id="6" w:name="_TOC_250004"/>
      <w:r w:rsidRPr="00F508D6">
        <w:t xml:space="preserve">Recommended Cost </w:t>
      </w:r>
      <w:bookmarkEnd w:id="6"/>
      <w:r w:rsidRPr="00F508D6">
        <w:t>Classification</w:t>
      </w:r>
    </w:p>
    <w:p w14:paraId="76BE2C6F" w14:textId="77777777" w:rsidR="007D61A1" w:rsidRPr="00F508D6" w:rsidRDefault="007D61A1" w:rsidP="00C25E3E">
      <w:pPr>
        <w:pStyle w:val="BodyText"/>
        <w:ind w:left="718" w:right="690"/>
        <w:rPr>
          <w:sz w:val="20"/>
          <w:szCs w:val="20"/>
        </w:rPr>
      </w:pPr>
    </w:p>
    <w:p w14:paraId="78BB9F7F" w14:textId="1DDECE5B" w:rsidR="007D61A1" w:rsidRPr="00EE472F" w:rsidRDefault="00EF285C" w:rsidP="00C25E3E">
      <w:pPr>
        <w:pStyle w:val="BodyText"/>
        <w:ind w:left="718" w:right="690"/>
        <w:rPr>
          <w:sz w:val="20"/>
          <w:szCs w:val="20"/>
        </w:rPr>
      </w:pPr>
      <w:r w:rsidRPr="00F508D6">
        <w:rPr>
          <w:sz w:val="20"/>
          <w:szCs w:val="20"/>
        </w:rPr>
        <w:t>The classification of costs in relation to decommissioning i</w:t>
      </w:r>
      <w:r w:rsidR="002E5FBF" w:rsidRPr="00F508D6">
        <w:rPr>
          <w:sz w:val="20"/>
          <w:szCs w:val="20"/>
        </w:rPr>
        <w:t>s open to interpretation</w:t>
      </w:r>
      <w:proofErr w:type="gramStart"/>
      <w:r w:rsidR="002E5FBF" w:rsidRPr="00F508D6">
        <w:rPr>
          <w:sz w:val="20"/>
          <w:szCs w:val="20"/>
        </w:rPr>
        <w:t xml:space="preserve">.  </w:t>
      </w:r>
      <w:proofErr w:type="gramEnd"/>
      <w:r w:rsidR="00FC0BBE" w:rsidRPr="00EE472F">
        <w:rPr>
          <w:sz w:val="20"/>
          <w:szCs w:val="20"/>
        </w:rPr>
        <w:t>The below decision tree can be used as guidance, but also taking into consideration that Operators will have individual internal Accounting Policies, Partner agreements and Commercial aspects to consider</w:t>
      </w:r>
      <w:proofErr w:type="gramStart"/>
      <w:r w:rsidR="00FC0BBE" w:rsidRPr="00EE472F">
        <w:rPr>
          <w:sz w:val="20"/>
          <w:szCs w:val="20"/>
        </w:rPr>
        <w:t xml:space="preserve">.  </w:t>
      </w:r>
      <w:proofErr w:type="gramEnd"/>
    </w:p>
    <w:p w14:paraId="558B7097" w14:textId="77777777" w:rsidR="00421F89" w:rsidRDefault="00421F89" w:rsidP="00EE472F">
      <w:pPr>
        <w:pStyle w:val="BodyText"/>
        <w:ind w:right="690"/>
      </w:pPr>
    </w:p>
    <w:p w14:paraId="69DB631B" w14:textId="77777777" w:rsidR="00421F89" w:rsidRDefault="00421F89" w:rsidP="00C25E3E">
      <w:pPr>
        <w:pStyle w:val="BodyText"/>
        <w:ind w:left="718" w:right="690"/>
      </w:pPr>
    </w:p>
    <w:p w14:paraId="3AC2F4C7" w14:textId="57CB123E" w:rsidR="00FC0BBE" w:rsidRDefault="000F6B5F" w:rsidP="00C25E3E">
      <w:pPr>
        <w:pStyle w:val="BodyText"/>
        <w:ind w:left="718" w:right="690"/>
        <w:rPr>
          <w:sz w:val="20"/>
          <w:szCs w:val="20"/>
        </w:rPr>
      </w:pPr>
      <w:r w:rsidRPr="000F6B5F">
        <w:rPr>
          <w:noProof/>
        </w:rPr>
        <w:drawing>
          <wp:inline distT="0" distB="0" distL="0" distR="0" wp14:anchorId="6B2CA777" wp14:editId="25ECA485">
            <wp:extent cx="5712748" cy="3461787"/>
            <wp:effectExtent l="19050" t="19050" r="21590" b="2476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31959" cy="3473428"/>
                    </a:xfrm>
                    <a:prstGeom prst="rect">
                      <a:avLst/>
                    </a:prstGeom>
                    <a:noFill/>
                    <a:ln w="12700">
                      <a:solidFill>
                        <a:schemeClr val="tx1"/>
                      </a:solidFill>
                    </a:ln>
                  </pic:spPr>
                </pic:pic>
              </a:graphicData>
            </a:graphic>
          </wp:inline>
        </w:drawing>
      </w:r>
    </w:p>
    <w:p w14:paraId="5EBA27B8" w14:textId="23E0E926" w:rsidR="00FC0BBE" w:rsidRDefault="00FC0BBE" w:rsidP="00C25E3E">
      <w:pPr>
        <w:pStyle w:val="BodyText"/>
        <w:ind w:left="718" w:right="690"/>
        <w:rPr>
          <w:sz w:val="20"/>
          <w:szCs w:val="20"/>
        </w:rPr>
      </w:pPr>
    </w:p>
    <w:p w14:paraId="30D421A5" w14:textId="77777777" w:rsidR="00AF5731" w:rsidRDefault="00AF5731" w:rsidP="00AF5731">
      <w:pPr>
        <w:pStyle w:val="BodyText"/>
        <w:ind w:left="718" w:right="690"/>
        <w:rPr>
          <w:sz w:val="20"/>
          <w:szCs w:val="20"/>
        </w:rPr>
      </w:pPr>
    </w:p>
    <w:p w14:paraId="3EB2A2F7" w14:textId="59CB5DB8" w:rsidR="00F508D6" w:rsidRPr="00EE472F" w:rsidRDefault="00FC0BBE">
      <w:pPr>
        <w:pStyle w:val="BodyText"/>
        <w:ind w:left="718" w:right="690"/>
        <w:rPr>
          <w:sz w:val="20"/>
          <w:szCs w:val="20"/>
        </w:rPr>
      </w:pPr>
      <w:r w:rsidRPr="00EE472F">
        <w:rPr>
          <w:sz w:val="20"/>
          <w:szCs w:val="20"/>
        </w:rPr>
        <w:t xml:space="preserve">The following is not an exhaustive list but provides guidance to increase alignment across the industry. </w:t>
      </w:r>
    </w:p>
    <w:p w14:paraId="648B8B8D" w14:textId="6155D777" w:rsidR="00F508D6" w:rsidRDefault="00F508D6">
      <w:pPr>
        <w:pStyle w:val="BodyText"/>
        <w:ind w:left="709" w:right="690"/>
        <w:rPr>
          <w:sz w:val="20"/>
          <w:szCs w:val="20"/>
        </w:rPr>
      </w:pPr>
    </w:p>
    <w:p w14:paraId="3537D622" w14:textId="15FACAA9" w:rsidR="000F6B5F" w:rsidRDefault="000967AB">
      <w:pPr>
        <w:pStyle w:val="BodyText"/>
        <w:ind w:left="709" w:right="690"/>
        <w:rPr>
          <w:sz w:val="20"/>
          <w:szCs w:val="20"/>
        </w:rPr>
      </w:pPr>
      <w:r w:rsidRPr="000967AB">
        <w:rPr>
          <w:noProof/>
        </w:rPr>
        <w:drawing>
          <wp:inline distT="0" distB="0" distL="0" distR="0" wp14:anchorId="11833E5E" wp14:editId="2EFFCAAE">
            <wp:extent cx="6048375" cy="3338195"/>
            <wp:effectExtent l="19050" t="19050" r="28575" b="146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50814" cy="3339541"/>
                    </a:xfrm>
                    <a:prstGeom prst="rect">
                      <a:avLst/>
                    </a:prstGeom>
                    <a:noFill/>
                    <a:ln w="3175">
                      <a:solidFill>
                        <a:schemeClr val="tx1"/>
                      </a:solidFill>
                    </a:ln>
                  </pic:spPr>
                </pic:pic>
              </a:graphicData>
            </a:graphic>
          </wp:inline>
        </w:drawing>
      </w:r>
    </w:p>
    <w:p w14:paraId="513D66BC" w14:textId="2E6341E7" w:rsidR="00EE472F" w:rsidRDefault="00EE472F" w:rsidP="00EE472F">
      <w:pPr>
        <w:pStyle w:val="BodyText"/>
        <w:ind w:left="709" w:right="690"/>
        <w:rPr>
          <w:sz w:val="20"/>
          <w:szCs w:val="20"/>
        </w:rPr>
      </w:pPr>
      <w:bookmarkStart w:id="7" w:name="_Hlk134786344"/>
      <w:r>
        <w:rPr>
          <w:sz w:val="20"/>
          <w:szCs w:val="20"/>
        </w:rPr>
        <w:t xml:space="preserve">Guidance on the treatment of severance costs can </w:t>
      </w:r>
      <w:proofErr w:type="gramStart"/>
      <w:r>
        <w:rPr>
          <w:sz w:val="20"/>
          <w:szCs w:val="20"/>
        </w:rPr>
        <w:t>be found</w:t>
      </w:r>
      <w:proofErr w:type="gramEnd"/>
      <w:r>
        <w:rPr>
          <w:sz w:val="20"/>
          <w:szCs w:val="20"/>
        </w:rPr>
        <w:t xml:space="preserve"> in SOAP4. </w:t>
      </w:r>
      <w:r w:rsidR="00CE6B64">
        <w:rPr>
          <w:sz w:val="20"/>
          <w:szCs w:val="20"/>
        </w:rPr>
        <w:t>The t</w:t>
      </w:r>
      <w:r>
        <w:rPr>
          <w:sz w:val="20"/>
          <w:szCs w:val="20"/>
        </w:rPr>
        <w:t>ime</w:t>
      </w:r>
      <w:r w:rsidR="00CE6B64">
        <w:rPr>
          <w:sz w:val="20"/>
          <w:szCs w:val="20"/>
        </w:rPr>
        <w:t xml:space="preserve"> </w:t>
      </w:r>
      <w:r>
        <w:rPr>
          <w:sz w:val="20"/>
          <w:szCs w:val="20"/>
        </w:rPr>
        <w:t>writing of individuals or teams for 24 months prior to severance should be used to attribute their severance costs</w:t>
      </w:r>
      <w:r w:rsidR="00CE6B64">
        <w:rPr>
          <w:sz w:val="20"/>
          <w:szCs w:val="20"/>
        </w:rPr>
        <w:t xml:space="preserve">, ensuring the correct allocation by field </w:t>
      </w:r>
      <w:proofErr w:type="gramStart"/>
      <w:r w:rsidR="00CE6B64">
        <w:rPr>
          <w:sz w:val="20"/>
          <w:szCs w:val="20"/>
        </w:rPr>
        <w:t>and also</w:t>
      </w:r>
      <w:proofErr w:type="gramEnd"/>
      <w:r w:rsidR="00CE6B64">
        <w:rPr>
          <w:sz w:val="20"/>
          <w:szCs w:val="20"/>
        </w:rPr>
        <w:t xml:space="preserve"> across Opex / Capex / Abex activity within the field.  As a result</w:t>
      </w:r>
      <w:r w:rsidR="008D19A3">
        <w:rPr>
          <w:sz w:val="20"/>
          <w:szCs w:val="20"/>
        </w:rPr>
        <w:t>,</w:t>
      </w:r>
      <w:r w:rsidR="00CE6B64">
        <w:rPr>
          <w:sz w:val="20"/>
          <w:szCs w:val="20"/>
        </w:rPr>
        <w:t xml:space="preserve"> there may be Opex / Capex spend </w:t>
      </w:r>
      <w:proofErr w:type="gramStart"/>
      <w:r w:rsidR="00CE6B64">
        <w:rPr>
          <w:sz w:val="20"/>
          <w:szCs w:val="20"/>
        </w:rPr>
        <w:t>being recognised</w:t>
      </w:r>
      <w:proofErr w:type="gramEnd"/>
      <w:r w:rsidR="00CE6B64">
        <w:rPr>
          <w:sz w:val="20"/>
          <w:szCs w:val="20"/>
        </w:rPr>
        <w:t xml:space="preserve"> in the period post COP.</w:t>
      </w:r>
      <w:r>
        <w:rPr>
          <w:sz w:val="20"/>
          <w:szCs w:val="20"/>
        </w:rPr>
        <w:t xml:space="preserve"> </w:t>
      </w:r>
    </w:p>
    <w:bookmarkEnd w:id="7"/>
    <w:p w14:paraId="5388BCA9" w14:textId="77777777" w:rsidR="00EE472F" w:rsidRDefault="00EE472F" w:rsidP="00EE472F">
      <w:pPr>
        <w:pStyle w:val="BodyText"/>
        <w:ind w:left="709" w:right="690"/>
        <w:rPr>
          <w:sz w:val="20"/>
          <w:szCs w:val="20"/>
        </w:rPr>
      </w:pPr>
    </w:p>
    <w:p w14:paraId="57921959" w14:textId="3B68F8F4" w:rsidR="00C266DC" w:rsidRDefault="00C266DC">
      <w:pPr>
        <w:pStyle w:val="BodyText"/>
        <w:spacing w:before="10"/>
        <w:rPr>
          <w:b/>
          <w:sz w:val="20"/>
          <w:szCs w:val="20"/>
          <w:u w:val="single"/>
        </w:rPr>
      </w:pPr>
    </w:p>
    <w:p w14:paraId="1AE359B4" w14:textId="77777777" w:rsidR="007D61A1" w:rsidRPr="005B4E3D" w:rsidRDefault="00EF285C" w:rsidP="00AF3E5B">
      <w:pPr>
        <w:pStyle w:val="Heading1"/>
        <w:numPr>
          <w:ilvl w:val="0"/>
          <w:numId w:val="13"/>
        </w:numPr>
        <w:ind w:left="709" w:hanging="425"/>
      </w:pPr>
      <w:bookmarkStart w:id="8" w:name="_TOC_250003"/>
      <w:r w:rsidRPr="005B4E3D">
        <w:t xml:space="preserve">Model </w:t>
      </w:r>
      <w:bookmarkEnd w:id="8"/>
      <w:r w:rsidRPr="005B4E3D">
        <w:t>Billing</w:t>
      </w:r>
    </w:p>
    <w:p w14:paraId="1EF51739" w14:textId="77777777" w:rsidR="007D61A1" w:rsidRDefault="007D61A1">
      <w:pPr>
        <w:pStyle w:val="BodyText"/>
        <w:spacing w:before="10"/>
        <w:rPr>
          <w:b/>
          <w:sz w:val="21"/>
        </w:rPr>
      </w:pPr>
    </w:p>
    <w:p w14:paraId="3B88AE77" w14:textId="7C26B350" w:rsidR="007D61A1" w:rsidRPr="00331A91" w:rsidRDefault="00EF285C" w:rsidP="00331A91">
      <w:pPr>
        <w:pStyle w:val="BodyText"/>
        <w:ind w:left="718" w:right="690"/>
        <w:rPr>
          <w:sz w:val="20"/>
          <w:szCs w:val="20"/>
        </w:rPr>
      </w:pPr>
      <w:r w:rsidRPr="00331A91">
        <w:rPr>
          <w:sz w:val="20"/>
          <w:szCs w:val="20"/>
        </w:rPr>
        <w:t xml:space="preserve">It </w:t>
      </w:r>
      <w:proofErr w:type="gramStart"/>
      <w:r w:rsidRPr="00331A91">
        <w:rPr>
          <w:sz w:val="20"/>
          <w:szCs w:val="20"/>
        </w:rPr>
        <w:t>is recommended</w:t>
      </w:r>
      <w:proofErr w:type="gramEnd"/>
      <w:r w:rsidRPr="00331A91">
        <w:rPr>
          <w:sz w:val="20"/>
          <w:szCs w:val="20"/>
        </w:rPr>
        <w:t xml:space="preserve"> all decommissioning spend be reported against a specific “Abex node”</w:t>
      </w:r>
      <w:r w:rsidR="00B12061">
        <w:rPr>
          <w:sz w:val="20"/>
          <w:szCs w:val="20"/>
        </w:rPr>
        <w:t xml:space="preserve"> in the Operators accounting system and Billing Statements</w:t>
      </w:r>
      <w:r w:rsidRPr="00331A91">
        <w:rPr>
          <w:sz w:val="20"/>
          <w:szCs w:val="20"/>
        </w:rPr>
        <w:t>. Spend should include Month, YTD &amp; ITD, and may be multi-currency where there is likely to b</w:t>
      </w:r>
      <w:r w:rsidR="00B12061">
        <w:rPr>
          <w:sz w:val="20"/>
          <w:szCs w:val="20"/>
        </w:rPr>
        <w:t xml:space="preserve">e a high content of non GBP </w:t>
      </w:r>
      <w:r w:rsidRPr="00331A91">
        <w:rPr>
          <w:sz w:val="20"/>
          <w:szCs w:val="20"/>
        </w:rPr>
        <w:t xml:space="preserve">spend. The format and currency of the billing will be determined </w:t>
      </w:r>
      <w:r w:rsidR="00CB624C">
        <w:rPr>
          <w:sz w:val="20"/>
          <w:szCs w:val="20"/>
        </w:rPr>
        <w:t>by the JOA</w:t>
      </w:r>
      <w:proofErr w:type="gramStart"/>
      <w:r w:rsidR="00CB624C">
        <w:rPr>
          <w:sz w:val="20"/>
          <w:szCs w:val="20"/>
        </w:rPr>
        <w:t xml:space="preserve">.  </w:t>
      </w:r>
      <w:proofErr w:type="gramEnd"/>
      <w:r w:rsidR="00CB624C">
        <w:rPr>
          <w:sz w:val="20"/>
          <w:szCs w:val="20"/>
        </w:rPr>
        <w:t xml:space="preserve">Refer to </w:t>
      </w:r>
      <w:r w:rsidR="00421F89">
        <w:rPr>
          <w:sz w:val="20"/>
          <w:szCs w:val="20"/>
        </w:rPr>
        <w:t xml:space="preserve">Reference </w:t>
      </w:r>
      <w:r w:rsidR="00941387">
        <w:rPr>
          <w:sz w:val="20"/>
          <w:szCs w:val="20"/>
        </w:rPr>
        <w:t>7</w:t>
      </w:r>
      <w:r w:rsidRPr="00331A91">
        <w:rPr>
          <w:sz w:val="20"/>
          <w:szCs w:val="20"/>
        </w:rPr>
        <w:t xml:space="preserve"> for an illustration.</w:t>
      </w:r>
    </w:p>
    <w:p w14:paraId="0599CD05" w14:textId="77777777" w:rsidR="007D61A1" w:rsidRDefault="007D61A1">
      <w:pPr>
        <w:pStyle w:val="BodyText"/>
        <w:rPr>
          <w:sz w:val="24"/>
        </w:rPr>
      </w:pPr>
    </w:p>
    <w:p w14:paraId="1D18EE1D" w14:textId="2E4B4EEB" w:rsidR="00AF3E5B" w:rsidRPr="00EE472F" w:rsidRDefault="00C2163D" w:rsidP="00EE472F">
      <w:pPr>
        <w:pStyle w:val="Heading1"/>
        <w:tabs>
          <w:tab w:val="left" w:pos="718"/>
          <w:tab w:val="left" w:pos="719"/>
        </w:tabs>
        <w:spacing w:before="92"/>
        <w:ind w:left="0"/>
        <w:rPr>
          <w:b w:val="0"/>
          <w:bCs w:val="0"/>
        </w:rPr>
      </w:pPr>
      <w:bookmarkStart w:id="9" w:name="_TOC_250002"/>
      <w:bookmarkStart w:id="10" w:name="_TOC_250001"/>
      <w:bookmarkEnd w:id="9"/>
      <w:bookmarkEnd w:id="10"/>
      <w:r>
        <w:tab/>
      </w:r>
      <w:r w:rsidR="00072909">
        <w:t>References:</w:t>
      </w:r>
      <w:r w:rsidR="006A113E" w:rsidRPr="00EE472F">
        <w:rPr>
          <w:b w:val="0"/>
          <w:bCs w:val="0"/>
        </w:rPr>
        <w:tab/>
      </w:r>
      <w:r w:rsidR="006A113E" w:rsidRPr="00EE472F">
        <w:rPr>
          <w:b w:val="0"/>
          <w:bCs w:val="0"/>
        </w:rPr>
        <w:tab/>
      </w:r>
      <w:r w:rsidR="006A113E" w:rsidRPr="00EE472F">
        <w:rPr>
          <w:b w:val="0"/>
          <w:bCs w:val="0"/>
        </w:rPr>
        <w:tab/>
      </w:r>
      <w:r w:rsidR="006A113E" w:rsidRPr="00EE472F">
        <w:rPr>
          <w:b w:val="0"/>
          <w:bCs w:val="0"/>
        </w:rPr>
        <w:tab/>
      </w:r>
      <w:r w:rsidR="006A113E" w:rsidRPr="00EE472F">
        <w:rPr>
          <w:b w:val="0"/>
          <w:bCs w:val="0"/>
        </w:rPr>
        <w:tab/>
      </w:r>
      <w:r w:rsidR="006A113E" w:rsidRPr="00EE472F">
        <w:rPr>
          <w:b w:val="0"/>
          <w:bCs w:val="0"/>
        </w:rPr>
        <w:tab/>
      </w:r>
      <w:r w:rsidR="006A113E" w:rsidRPr="00EE472F">
        <w:rPr>
          <w:b w:val="0"/>
          <w:bCs w:val="0"/>
        </w:rPr>
        <w:tab/>
      </w:r>
      <w:r w:rsidR="006A113E" w:rsidRPr="00EE472F">
        <w:rPr>
          <w:b w:val="0"/>
          <w:bCs w:val="0"/>
        </w:rPr>
        <w:tab/>
      </w:r>
      <w:r w:rsidR="006A113E" w:rsidRPr="00EE472F">
        <w:rPr>
          <w:b w:val="0"/>
          <w:bCs w:val="0"/>
        </w:rPr>
        <w:tab/>
      </w:r>
    </w:p>
    <w:p w14:paraId="0D6DD71F" w14:textId="66ECE677" w:rsidR="006B54C7" w:rsidRDefault="008D19A3" w:rsidP="006B54C7">
      <w:pPr>
        <w:pStyle w:val="Heading1"/>
        <w:numPr>
          <w:ilvl w:val="0"/>
          <w:numId w:val="25"/>
        </w:numPr>
        <w:tabs>
          <w:tab w:val="left" w:pos="718"/>
          <w:tab w:val="left" w:pos="719"/>
        </w:tabs>
        <w:spacing w:before="92"/>
        <w:rPr>
          <w:b w:val="0"/>
          <w:bCs w:val="0"/>
        </w:rPr>
      </w:pPr>
      <w:hyperlink r:id="rId18" w:history="1">
        <w:r w:rsidR="006B54C7" w:rsidRPr="00EE472F">
          <w:rPr>
            <w:rStyle w:val="Hyperlink"/>
            <w:b w:val="0"/>
            <w:bCs w:val="0"/>
          </w:rPr>
          <w:t>Guideline on Decommissioning Cost Estimation - Issue 3 (oeuk.org.uk)</w:t>
        </w:r>
      </w:hyperlink>
    </w:p>
    <w:p w14:paraId="29524FF4" w14:textId="03AA683B" w:rsidR="00941387" w:rsidRPr="00EE472F" w:rsidRDefault="008D19A3" w:rsidP="006B54C7">
      <w:pPr>
        <w:pStyle w:val="Heading1"/>
        <w:numPr>
          <w:ilvl w:val="0"/>
          <w:numId w:val="25"/>
        </w:numPr>
        <w:tabs>
          <w:tab w:val="left" w:pos="718"/>
          <w:tab w:val="left" w:pos="719"/>
        </w:tabs>
        <w:spacing w:before="92"/>
        <w:rPr>
          <w:b w:val="0"/>
          <w:bCs w:val="0"/>
        </w:rPr>
      </w:pPr>
      <w:hyperlink r:id="rId19" w:history="1">
        <w:r w:rsidR="002023B0" w:rsidRPr="00EE472F">
          <w:rPr>
            <w:rStyle w:val="Hyperlink"/>
            <w:b w:val="0"/>
            <w:bCs w:val="0"/>
          </w:rPr>
          <w:t>North Sea Transition Authority (NSTA): Well Consents Guidance - 2022 - Publications - News &amp; &lt;br/&gt;publications (nstauthority.co.uk)</w:t>
        </w:r>
      </w:hyperlink>
    </w:p>
    <w:p w14:paraId="4737D9F9" w14:textId="03E470C2" w:rsidR="006B54C7" w:rsidRPr="00EE472F" w:rsidRDefault="008D19A3" w:rsidP="006B54C7">
      <w:pPr>
        <w:pStyle w:val="Heading1"/>
        <w:numPr>
          <w:ilvl w:val="0"/>
          <w:numId w:val="25"/>
        </w:numPr>
        <w:tabs>
          <w:tab w:val="left" w:pos="718"/>
          <w:tab w:val="left" w:pos="719"/>
        </w:tabs>
        <w:spacing w:before="92"/>
        <w:rPr>
          <w:b w:val="0"/>
          <w:bCs w:val="0"/>
        </w:rPr>
      </w:pPr>
      <w:hyperlink r:id="rId20" w:history="1">
        <w:r w:rsidR="006B54C7" w:rsidRPr="00EE472F">
          <w:rPr>
            <w:rStyle w:val="Hyperlink"/>
            <w:b w:val="0"/>
            <w:bCs w:val="0"/>
          </w:rPr>
          <w:t>BEIS: Decommissioning of Offshore Oil and Gas Installations &amp; Pipelines</w:t>
        </w:r>
      </w:hyperlink>
    </w:p>
    <w:p w14:paraId="60737F50" w14:textId="6703E0A5" w:rsidR="0061012B" w:rsidRPr="00EE472F" w:rsidRDefault="00AF3E5B" w:rsidP="006B54C7">
      <w:pPr>
        <w:pStyle w:val="Heading1"/>
        <w:numPr>
          <w:ilvl w:val="0"/>
          <w:numId w:val="25"/>
        </w:numPr>
        <w:tabs>
          <w:tab w:val="left" w:pos="718"/>
          <w:tab w:val="left" w:pos="719"/>
        </w:tabs>
        <w:spacing w:before="92"/>
        <w:rPr>
          <w:b w:val="0"/>
          <w:bCs w:val="0"/>
        </w:rPr>
      </w:pPr>
      <w:r w:rsidRPr="00EE472F">
        <w:rPr>
          <w:b w:val="0"/>
          <w:bCs w:val="0"/>
        </w:rPr>
        <w:tab/>
      </w:r>
      <w:r w:rsidRPr="00EE472F">
        <w:rPr>
          <w:b w:val="0"/>
          <w:bCs w:val="0"/>
        </w:rPr>
        <w:tab/>
      </w:r>
      <w:hyperlink r:id="rId21" w:history="1">
        <w:r w:rsidR="006B54C7" w:rsidRPr="00EE472F">
          <w:rPr>
            <w:rStyle w:val="Hyperlink"/>
            <w:b w:val="0"/>
            <w:bCs w:val="0"/>
          </w:rPr>
          <w:t>Decommissioning Work Breakdown Structure Guidelines: (oeuk.org.uk)</w:t>
        </w:r>
      </w:hyperlink>
    </w:p>
    <w:p w14:paraId="1ACE0B76" w14:textId="350A2FE2" w:rsidR="001115D7" w:rsidRPr="00EE472F" w:rsidRDefault="008D19A3" w:rsidP="006B54C7">
      <w:pPr>
        <w:pStyle w:val="Heading1"/>
        <w:numPr>
          <w:ilvl w:val="0"/>
          <w:numId w:val="25"/>
        </w:numPr>
        <w:tabs>
          <w:tab w:val="left" w:pos="718"/>
          <w:tab w:val="left" w:pos="719"/>
        </w:tabs>
        <w:spacing w:before="92"/>
        <w:rPr>
          <w:b w:val="0"/>
          <w:bCs w:val="0"/>
        </w:rPr>
      </w:pPr>
      <w:hyperlink r:id="rId22" w:history="1">
        <w:r w:rsidR="001115D7" w:rsidRPr="00EE472F">
          <w:rPr>
            <w:rStyle w:val="Hyperlink"/>
            <w:b w:val="0"/>
            <w:bCs w:val="0"/>
          </w:rPr>
          <w:t>UKCS Decommissioning Cost Estimate 2021 (nstauthority.co.uk)</w:t>
        </w:r>
      </w:hyperlink>
    </w:p>
    <w:p w14:paraId="1BD969D4" w14:textId="46363838" w:rsidR="006B54C7" w:rsidRDefault="008D19A3" w:rsidP="006B54C7">
      <w:pPr>
        <w:pStyle w:val="Heading1"/>
        <w:numPr>
          <w:ilvl w:val="0"/>
          <w:numId w:val="25"/>
        </w:numPr>
        <w:tabs>
          <w:tab w:val="left" w:pos="718"/>
          <w:tab w:val="left" w:pos="719"/>
        </w:tabs>
        <w:spacing w:before="92"/>
      </w:pPr>
      <w:hyperlink r:id="rId23" w:history="1">
        <w:r w:rsidR="006B54C7" w:rsidRPr="00EE472F">
          <w:rPr>
            <w:rStyle w:val="Hyperlink"/>
            <w:b w:val="0"/>
            <w:bCs w:val="0"/>
          </w:rPr>
          <w:t>OEUK's Guidelines on Well Abandonment Cost Estimation - Issue 2</w:t>
        </w:r>
      </w:hyperlink>
    </w:p>
    <w:p w14:paraId="291795BC" w14:textId="77777777" w:rsidR="00421F89" w:rsidRDefault="00421F89" w:rsidP="00EE472F">
      <w:pPr>
        <w:pStyle w:val="Heading1"/>
        <w:tabs>
          <w:tab w:val="left" w:pos="718"/>
          <w:tab w:val="left" w:pos="719"/>
        </w:tabs>
        <w:spacing w:before="92"/>
        <w:ind w:left="720"/>
      </w:pPr>
    </w:p>
    <w:p w14:paraId="53D773CC" w14:textId="132183BE" w:rsidR="00421F89" w:rsidRDefault="00421F89" w:rsidP="00EE472F">
      <w:pPr>
        <w:pStyle w:val="BodyText"/>
        <w:numPr>
          <w:ilvl w:val="0"/>
          <w:numId w:val="25"/>
        </w:numPr>
        <w:spacing w:after="23"/>
        <w:rPr>
          <w:sz w:val="20"/>
        </w:rPr>
      </w:pPr>
      <w:r w:rsidRPr="00FE4C33">
        <w:rPr>
          <w:sz w:val="20"/>
        </w:rPr>
        <w:t xml:space="preserve">Billing Statement – Content &amp; Format </w:t>
      </w:r>
    </w:p>
    <w:p w14:paraId="0B8235E0" w14:textId="77777777" w:rsidR="00421F89" w:rsidRDefault="00421F89" w:rsidP="00421F89">
      <w:pPr>
        <w:pStyle w:val="BodyText"/>
        <w:spacing w:after="23"/>
        <w:ind w:left="26"/>
        <w:rPr>
          <w:sz w:val="20"/>
        </w:rPr>
      </w:pPr>
    </w:p>
    <w:p w14:paraId="4874BB67" w14:textId="37788A2A" w:rsidR="00421F89" w:rsidRDefault="005B2617" w:rsidP="00EE472F">
      <w:pPr>
        <w:pStyle w:val="Heading1"/>
        <w:tabs>
          <w:tab w:val="left" w:pos="718"/>
          <w:tab w:val="left" w:pos="719"/>
        </w:tabs>
        <w:spacing w:before="92"/>
        <w:ind w:left="720"/>
      </w:pPr>
      <w:r>
        <w:object w:dxaOrig="1540" w:dyaOrig="996" w14:anchorId="186C99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7pt;height:49.55pt" o:ole="">
            <v:imagedata r:id="rId24" o:title=""/>
          </v:shape>
          <o:OLEObject Type="Embed" ProgID="AcroExch.Document.DC" ShapeID="_x0000_i1025" DrawAspect="Icon" ObjectID="_1745740186" r:id="rId25"/>
        </w:object>
      </w:r>
    </w:p>
    <w:p w14:paraId="69B9194C" w14:textId="77777777" w:rsidR="00072909" w:rsidRDefault="00072909" w:rsidP="006A113E">
      <w:pPr>
        <w:pStyle w:val="Heading1"/>
        <w:tabs>
          <w:tab w:val="left" w:pos="718"/>
          <w:tab w:val="left" w:pos="719"/>
        </w:tabs>
        <w:spacing w:before="92"/>
      </w:pPr>
    </w:p>
    <w:p w14:paraId="73AA6C30" w14:textId="77777777" w:rsidR="007D61A1" w:rsidRDefault="007D61A1">
      <w:pPr>
        <w:pStyle w:val="BodyText"/>
        <w:ind w:left="1755"/>
        <w:rPr>
          <w:sz w:val="20"/>
        </w:rPr>
      </w:pPr>
    </w:p>
    <w:p w14:paraId="6C056CBD" w14:textId="77777777" w:rsidR="007D61A1" w:rsidRDefault="0001283F">
      <w:pPr>
        <w:pStyle w:val="BodyText"/>
        <w:spacing w:before="8"/>
        <w:rPr>
          <w:rFonts w:ascii="Segoe UI"/>
          <w:sz w:val="19"/>
        </w:rPr>
      </w:pPr>
      <w:r>
        <w:rPr>
          <w:rFonts w:ascii="Segoe UI"/>
          <w:sz w:val="19"/>
        </w:rPr>
        <w:tab/>
      </w:r>
      <w:r w:rsidR="006B5121">
        <w:rPr>
          <w:rFonts w:ascii="Segoe UI"/>
          <w:sz w:val="19"/>
        </w:rPr>
        <w:tab/>
      </w:r>
    </w:p>
    <w:p w14:paraId="7E1B9FE5" w14:textId="202C8B1F" w:rsidR="00F43AB2" w:rsidRPr="00EE472F" w:rsidRDefault="00CB0ADF" w:rsidP="00EE472F">
      <w:pPr>
        <w:tabs>
          <w:tab w:val="left" w:pos="993"/>
        </w:tabs>
        <w:ind w:left="720"/>
        <w:rPr>
          <w:b/>
          <w:bCs/>
          <w:sz w:val="20"/>
          <w:szCs w:val="20"/>
        </w:rPr>
      </w:pPr>
      <w:r w:rsidRPr="00EE472F">
        <w:rPr>
          <w:b/>
          <w:bCs/>
        </w:rPr>
        <w:t>Document History:</w:t>
      </w:r>
    </w:p>
    <w:p w14:paraId="510F352A" w14:textId="53D3A093" w:rsidR="00CB0ADF" w:rsidRPr="00EE472F" w:rsidRDefault="00CB0ADF" w:rsidP="00EE472F">
      <w:pPr>
        <w:tabs>
          <w:tab w:val="left" w:pos="993"/>
        </w:tabs>
        <w:rPr>
          <w:i/>
          <w:iCs/>
          <w:color w:val="808080" w:themeColor="background1" w:themeShade="80"/>
        </w:rPr>
      </w:pPr>
    </w:p>
    <w:p w14:paraId="52FEF36B" w14:textId="02A778C9" w:rsidR="00CB0ADF" w:rsidRPr="00EE472F" w:rsidRDefault="00CB0ADF" w:rsidP="00EE472F">
      <w:pPr>
        <w:pStyle w:val="ListParagraph"/>
        <w:numPr>
          <w:ilvl w:val="0"/>
          <w:numId w:val="27"/>
        </w:numPr>
        <w:rPr>
          <w:b/>
          <w:sz w:val="20"/>
          <w:szCs w:val="20"/>
        </w:rPr>
      </w:pPr>
      <w:r w:rsidRPr="00EE472F">
        <w:rPr>
          <w:b/>
          <w:sz w:val="20"/>
          <w:szCs w:val="20"/>
        </w:rPr>
        <w:t>Revision 2</w:t>
      </w:r>
      <w:r>
        <w:rPr>
          <w:b/>
          <w:sz w:val="20"/>
          <w:szCs w:val="20"/>
        </w:rPr>
        <w:t>:</w:t>
      </w:r>
      <w:r w:rsidR="00C2163D">
        <w:rPr>
          <w:b/>
          <w:sz w:val="20"/>
          <w:szCs w:val="20"/>
        </w:rPr>
        <w:tab/>
      </w:r>
      <w:r w:rsidRPr="00EE472F">
        <w:rPr>
          <w:b/>
          <w:sz w:val="20"/>
          <w:szCs w:val="20"/>
        </w:rPr>
        <w:t xml:space="preserve">issued </w:t>
      </w:r>
      <w:r w:rsidR="00C062C6">
        <w:rPr>
          <w:b/>
          <w:sz w:val="20"/>
          <w:szCs w:val="20"/>
        </w:rPr>
        <w:t>May</w:t>
      </w:r>
      <w:r w:rsidRPr="00EE472F">
        <w:rPr>
          <w:b/>
          <w:sz w:val="20"/>
          <w:szCs w:val="20"/>
        </w:rPr>
        <w:t xml:space="preserve"> 202</w:t>
      </w:r>
      <w:r w:rsidR="00C062C6">
        <w:rPr>
          <w:b/>
          <w:sz w:val="20"/>
          <w:szCs w:val="20"/>
        </w:rPr>
        <w:t>3</w:t>
      </w:r>
      <w:r w:rsidRPr="00EE472F">
        <w:rPr>
          <w:b/>
          <w:sz w:val="20"/>
          <w:szCs w:val="20"/>
        </w:rPr>
        <w:t xml:space="preserve"> and prepared by:</w:t>
      </w:r>
    </w:p>
    <w:p w14:paraId="19CD2E22" w14:textId="592BBE10" w:rsidR="00CB0ADF" w:rsidRPr="00DC59B8" w:rsidRDefault="00CB0ADF" w:rsidP="00EE472F">
      <w:pPr>
        <w:tabs>
          <w:tab w:val="left" w:pos="2321"/>
          <w:tab w:val="left" w:pos="2741"/>
        </w:tabs>
        <w:ind w:left="1440"/>
        <w:rPr>
          <w:sz w:val="20"/>
          <w:szCs w:val="20"/>
        </w:rPr>
      </w:pPr>
      <w:r w:rsidRPr="00DC59B8">
        <w:rPr>
          <w:sz w:val="20"/>
          <w:szCs w:val="20"/>
        </w:rPr>
        <w:t>A Stewart</w:t>
      </w:r>
      <w:r w:rsidR="00C2163D">
        <w:rPr>
          <w:sz w:val="20"/>
          <w:szCs w:val="20"/>
        </w:rPr>
        <w:t>:</w:t>
      </w:r>
      <w:r w:rsidR="00C2163D">
        <w:rPr>
          <w:sz w:val="20"/>
          <w:szCs w:val="20"/>
        </w:rPr>
        <w:tab/>
        <w:t xml:space="preserve">  </w:t>
      </w:r>
      <w:r w:rsidRPr="00DC59B8">
        <w:rPr>
          <w:sz w:val="20"/>
          <w:szCs w:val="20"/>
        </w:rPr>
        <w:t>TAQA UK</w:t>
      </w:r>
    </w:p>
    <w:p w14:paraId="6F6F9528" w14:textId="51C63972" w:rsidR="00CB0ADF" w:rsidRPr="00DC59B8" w:rsidRDefault="00CB0ADF" w:rsidP="00EE472F">
      <w:pPr>
        <w:tabs>
          <w:tab w:val="left" w:pos="2321"/>
          <w:tab w:val="left" w:pos="2741"/>
        </w:tabs>
        <w:spacing w:before="13"/>
        <w:ind w:left="1440"/>
        <w:rPr>
          <w:sz w:val="20"/>
          <w:szCs w:val="20"/>
        </w:rPr>
      </w:pPr>
      <w:r w:rsidRPr="00DC59B8">
        <w:rPr>
          <w:sz w:val="20"/>
          <w:szCs w:val="20"/>
        </w:rPr>
        <w:t>M Walters:</w:t>
      </w:r>
      <w:r w:rsidR="00C2163D">
        <w:rPr>
          <w:sz w:val="20"/>
          <w:szCs w:val="20"/>
        </w:rPr>
        <w:tab/>
        <w:t xml:space="preserve">  </w:t>
      </w:r>
      <w:r w:rsidRPr="00DC59B8">
        <w:rPr>
          <w:sz w:val="20"/>
          <w:szCs w:val="20"/>
        </w:rPr>
        <w:t>BP</w:t>
      </w:r>
    </w:p>
    <w:p w14:paraId="26BA1253" w14:textId="14BEE480" w:rsidR="00CB0ADF" w:rsidRPr="00DC59B8" w:rsidRDefault="00CB0ADF" w:rsidP="00EE472F">
      <w:pPr>
        <w:tabs>
          <w:tab w:val="left" w:pos="2321"/>
          <w:tab w:val="left" w:pos="2741"/>
        </w:tabs>
        <w:spacing w:before="13"/>
        <w:ind w:left="1440"/>
        <w:rPr>
          <w:spacing w:val="5"/>
          <w:sz w:val="20"/>
          <w:szCs w:val="20"/>
        </w:rPr>
      </w:pPr>
      <w:r w:rsidRPr="00DC59B8">
        <w:rPr>
          <w:sz w:val="20"/>
          <w:szCs w:val="20"/>
        </w:rPr>
        <w:t>D Strachan:</w:t>
      </w:r>
      <w:r w:rsidR="00C2163D">
        <w:rPr>
          <w:sz w:val="20"/>
          <w:szCs w:val="20"/>
        </w:rPr>
        <w:tab/>
        <w:t xml:space="preserve">  </w:t>
      </w:r>
      <w:r w:rsidRPr="00DC59B8">
        <w:rPr>
          <w:spacing w:val="5"/>
          <w:sz w:val="20"/>
          <w:szCs w:val="20"/>
        </w:rPr>
        <w:t>CNOOC</w:t>
      </w:r>
    </w:p>
    <w:p w14:paraId="204C310A" w14:textId="3EF51C18" w:rsidR="00CB0ADF" w:rsidRPr="00EE472F" w:rsidRDefault="00CB0ADF" w:rsidP="00CB0ADF">
      <w:pPr>
        <w:tabs>
          <w:tab w:val="left" w:pos="993"/>
        </w:tabs>
        <w:rPr>
          <w:i/>
          <w:iCs/>
          <w:color w:val="808080" w:themeColor="background1" w:themeShade="80"/>
          <w:sz w:val="20"/>
          <w:szCs w:val="20"/>
        </w:rPr>
      </w:pPr>
      <w:r w:rsidRPr="00EE472F">
        <w:rPr>
          <w:i/>
          <w:iCs/>
          <w:color w:val="808080" w:themeColor="background1" w:themeShade="80"/>
          <w:sz w:val="20"/>
          <w:szCs w:val="20"/>
        </w:rPr>
        <w:tab/>
      </w:r>
    </w:p>
    <w:p w14:paraId="7E91672F" w14:textId="77777777" w:rsidR="007D61A1" w:rsidRPr="00EE472F" w:rsidRDefault="007D61A1" w:rsidP="005B4E3D">
      <w:pPr>
        <w:pStyle w:val="BodyText"/>
        <w:tabs>
          <w:tab w:val="left" w:pos="2985"/>
        </w:tabs>
        <w:ind w:right="5781"/>
        <w:jc w:val="both"/>
        <w:rPr>
          <w:color w:val="A6A6A6" w:themeColor="background1" w:themeShade="A6"/>
          <w:sz w:val="20"/>
          <w:szCs w:val="20"/>
        </w:rPr>
      </w:pPr>
      <w:bookmarkStart w:id="11" w:name="_TOC_250000"/>
      <w:bookmarkEnd w:id="11"/>
    </w:p>
    <w:p w14:paraId="00724CB9" w14:textId="414EB854" w:rsidR="00097451" w:rsidRPr="00EE472F" w:rsidRDefault="00097451" w:rsidP="00EE472F">
      <w:pPr>
        <w:pStyle w:val="ListParagraph"/>
        <w:numPr>
          <w:ilvl w:val="0"/>
          <w:numId w:val="27"/>
        </w:numPr>
        <w:rPr>
          <w:b/>
          <w:color w:val="A6A6A6" w:themeColor="background1" w:themeShade="A6"/>
          <w:sz w:val="20"/>
          <w:szCs w:val="20"/>
        </w:rPr>
      </w:pPr>
      <w:r w:rsidRPr="00EE472F">
        <w:rPr>
          <w:b/>
          <w:color w:val="A6A6A6" w:themeColor="background1" w:themeShade="A6"/>
          <w:sz w:val="20"/>
          <w:szCs w:val="20"/>
        </w:rPr>
        <w:t>Revision 1</w:t>
      </w:r>
      <w:r w:rsidR="00CB0ADF">
        <w:rPr>
          <w:b/>
          <w:color w:val="A6A6A6" w:themeColor="background1" w:themeShade="A6"/>
          <w:sz w:val="20"/>
          <w:szCs w:val="20"/>
        </w:rPr>
        <w:t>:</w:t>
      </w:r>
      <w:r w:rsidR="00CB0ADF">
        <w:rPr>
          <w:b/>
          <w:color w:val="A6A6A6" w:themeColor="background1" w:themeShade="A6"/>
          <w:sz w:val="20"/>
          <w:szCs w:val="20"/>
        </w:rPr>
        <w:tab/>
      </w:r>
      <w:r w:rsidRPr="00EE472F">
        <w:rPr>
          <w:b/>
          <w:color w:val="A6A6A6" w:themeColor="background1" w:themeShade="A6"/>
          <w:sz w:val="20"/>
          <w:szCs w:val="20"/>
        </w:rPr>
        <w:t xml:space="preserve"> issued March 2019 and prepared by:</w:t>
      </w:r>
    </w:p>
    <w:p w14:paraId="3BF5F367" w14:textId="688D067C" w:rsidR="00097451" w:rsidRPr="00EE472F" w:rsidRDefault="00CB0ADF" w:rsidP="00EE472F">
      <w:pPr>
        <w:ind w:left="720"/>
        <w:rPr>
          <w:bCs/>
          <w:color w:val="A6A6A6" w:themeColor="background1" w:themeShade="A6"/>
          <w:sz w:val="20"/>
          <w:szCs w:val="20"/>
        </w:rPr>
      </w:pPr>
      <w:r w:rsidRPr="00EE472F">
        <w:rPr>
          <w:b/>
          <w:color w:val="A6A6A6" w:themeColor="background1" w:themeShade="A6"/>
          <w:sz w:val="20"/>
          <w:szCs w:val="20"/>
        </w:rPr>
        <w:tab/>
      </w:r>
      <w:r w:rsidR="00097451" w:rsidRPr="00EE472F">
        <w:rPr>
          <w:bCs/>
          <w:color w:val="A6A6A6" w:themeColor="background1" w:themeShade="A6"/>
          <w:sz w:val="20"/>
          <w:szCs w:val="20"/>
        </w:rPr>
        <w:t>G Robertson:</w:t>
      </w:r>
      <w:r w:rsidR="00097451" w:rsidRPr="00EE472F">
        <w:rPr>
          <w:bCs/>
          <w:color w:val="A6A6A6" w:themeColor="background1" w:themeShade="A6"/>
          <w:sz w:val="20"/>
          <w:szCs w:val="20"/>
        </w:rPr>
        <w:tab/>
      </w:r>
      <w:r w:rsidR="00C2163D">
        <w:rPr>
          <w:bCs/>
          <w:color w:val="A6A6A6" w:themeColor="background1" w:themeShade="A6"/>
          <w:sz w:val="20"/>
          <w:szCs w:val="20"/>
        </w:rPr>
        <w:t xml:space="preserve"> </w:t>
      </w:r>
      <w:r w:rsidR="00097451" w:rsidRPr="00EE472F">
        <w:rPr>
          <w:bCs/>
          <w:color w:val="A6A6A6" w:themeColor="background1" w:themeShade="A6"/>
          <w:sz w:val="20"/>
          <w:szCs w:val="20"/>
        </w:rPr>
        <w:t>Anderson, Anderson &amp; Brown</w:t>
      </w:r>
    </w:p>
    <w:p w14:paraId="658797F9" w14:textId="5106A041" w:rsidR="00097451" w:rsidRPr="00EE472F" w:rsidRDefault="00CB0ADF" w:rsidP="00EE472F">
      <w:pPr>
        <w:ind w:left="720"/>
        <w:rPr>
          <w:bCs/>
          <w:color w:val="A6A6A6" w:themeColor="background1" w:themeShade="A6"/>
          <w:sz w:val="20"/>
          <w:szCs w:val="20"/>
        </w:rPr>
      </w:pPr>
      <w:r w:rsidRPr="00EE472F">
        <w:rPr>
          <w:bCs/>
          <w:color w:val="A6A6A6" w:themeColor="background1" w:themeShade="A6"/>
          <w:sz w:val="20"/>
          <w:szCs w:val="20"/>
        </w:rPr>
        <w:tab/>
      </w:r>
      <w:r w:rsidR="00097451" w:rsidRPr="00EE472F">
        <w:rPr>
          <w:bCs/>
          <w:color w:val="A6A6A6" w:themeColor="background1" w:themeShade="A6"/>
          <w:sz w:val="20"/>
          <w:szCs w:val="20"/>
        </w:rPr>
        <w:t>I McPherson:</w:t>
      </w:r>
      <w:r w:rsidR="00097451" w:rsidRPr="00EE472F">
        <w:rPr>
          <w:bCs/>
          <w:color w:val="A6A6A6" w:themeColor="background1" w:themeShade="A6"/>
          <w:sz w:val="20"/>
          <w:szCs w:val="20"/>
        </w:rPr>
        <w:tab/>
      </w:r>
      <w:r w:rsidR="00C2163D">
        <w:rPr>
          <w:bCs/>
          <w:color w:val="A6A6A6" w:themeColor="background1" w:themeShade="A6"/>
          <w:sz w:val="20"/>
          <w:szCs w:val="20"/>
        </w:rPr>
        <w:t xml:space="preserve"> </w:t>
      </w:r>
      <w:r w:rsidR="00097451" w:rsidRPr="00EE472F">
        <w:rPr>
          <w:bCs/>
          <w:color w:val="A6A6A6" w:themeColor="background1" w:themeShade="A6"/>
          <w:sz w:val="20"/>
          <w:szCs w:val="20"/>
        </w:rPr>
        <w:t>Anderson, Anderson &amp; Brown</w:t>
      </w:r>
    </w:p>
    <w:p w14:paraId="1DDE23CB" w14:textId="2E2AB929" w:rsidR="00751BD1" w:rsidRPr="00EE472F" w:rsidRDefault="00CB0ADF" w:rsidP="00EE472F">
      <w:pPr>
        <w:ind w:left="720"/>
        <w:rPr>
          <w:bCs/>
          <w:color w:val="A6A6A6" w:themeColor="background1" w:themeShade="A6"/>
          <w:sz w:val="20"/>
          <w:szCs w:val="20"/>
        </w:rPr>
      </w:pPr>
      <w:r w:rsidRPr="00EE472F">
        <w:rPr>
          <w:bCs/>
          <w:color w:val="A6A6A6" w:themeColor="background1" w:themeShade="A6"/>
          <w:sz w:val="20"/>
          <w:szCs w:val="20"/>
        </w:rPr>
        <w:tab/>
      </w:r>
      <w:r w:rsidR="006604AD" w:rsidRPr="00EE472F">
        <w:rPr>
          <w:bCs/>
          <w:color w:val="A6A6A6" w:themeColor="background1" w:themeShade="A6"/>
          <w:sz w:val="20"/>
          <w:szCs w:val="20"/>
        </w:rPr>
        <w:t>I Finlayson:</w:t>
      </w:r>
      <w:r w:rsidR="006604AD" w:rsidRPr="00EE472F">
        <w:rPr>
          <w:bCs/>
          <w:color w:val="A6A6A6" w:themeColor="background1" w:themeShade="A6"/>
          <w:sz w:val="20"/>
          <w:szCs w:val="20"/>
        </w:rPr>
        <w:tab/>
        <w:t xml:space="preserve"> </w:t>
      </w:r>
      <w:r w:rsidR="00751BD1" w:rsidRPr="00EE472F">
        <w:rPr>
          <w:bCs/>
          <w:color w:val="A6A6A6" w:themeColor="background1" w:themeShade="A6"/>
          <w:sz w:val="20"/>
          <w:szCs w:val="20"/>
        </w:rPr>
        <w:t xml:space="preserve">Anderson, Anderson &amp; Brown </w:t>
      </w:r>
    </w:p>
    <w:p w14:paraId="6E0FF1A5" w14:textId="117C60A6" w:rsidR="006D5F24" w:rsidRPr="00EE472F" w:rsidRDefault="00CB0ADF" w:rsidP="00EE472F">
      <w:pPr>
        <w:ind w:left="720"/>
        <w:rPr>
          <w:bCs/>
          <w:color w:val="A6A6A6" w:themeColor="background1" w:themeShade="A6"/>
          <w:sz w:val="20"/>
          <w:szCs w:val="20"/>
        </w:rPr>
      </w:pPr>
      <w:r w:rsidRPr="00EE472F">
        <w:rPr>
          <w:bCs/>
          <w:color w:val="A6A6A6" w:themeColor="background1" w:themeShade="A6"/>
          <w:sz w:val="20"/>
          <w:szCs w:val="20"/>
        </w:rPr>
        <w:tab/>
      </w:r>
      <w:r w:rsidR="006604AD" w:rsidRPr="00EE472F">
        <w:rPr>
          <w:bCs/>
          <w:color w:val="A6A6A6" w:themeColor="background1" w:themeShade="A6"/>
          <w:sz w:val="20"/>
          <w:szCs w:val="20"/>
        </w:rPr>
        <w:t>J Hutton :</w:t>
      </w:r>
      <w:r w:rsidR="006604AD" w:rsidRPr="00EE472F">
        <w:rPr>
          <w:bCs/>
          <w:color w:val="A6A6A6" w:themeColor="background1" w:themeShade="A6"/>
          <w:sz w:val="20"/>
          <w:szCs w:val="20"/>
        </w:rPr>
        <w:tab/>
        <w:t xml:space="preserve"> </w:t>
      </w:r>
      <w:r w:rsidR="00751BD1" w:rsidRPr="00EE472F">
        <w:rPr>
          <w:bCs/>
          <w:color w:val="A6A6A6" w:themeColor="background1" w:themeShade="A6"/>
          <w:sz w:val="20"/>
          <w:szCs w:val="20"/>
        </w:rPr>
        <w:t>Anderson, Anderson &amp; Brown</w:t>
      </w:r>
    </w:p>
    <w:p w14:paraId="74B62B0B" w14:textId="390812E1" w:rsidR="006604AD" w:rsidRPr="00EE472F" w:rsidRDefault="00CB0ADF" w:rsidP="00EE472F">
      <w:pPr>
        <w:ind w:left="720"/>
        <w:rPr>
          <w:bCs/>
          <w:color w:val="A6A6A6" w:themeColor="background1" w:themeShade="A6"/>
          <w:sz w:val="20"/>
          <w:szCs w:val="20"/>
        </w:rPr>
      </w:pPr>
      <w:r w:rsidRPr="00EE472F">
        <w:rPr>
          <w:bCs/>
          <w:color w:val="A6A6A6" w:themeColor="background1" w:themeShade="A6"/>
          <w:sz w:val="20"/>
          <w:szCs w:val="20"/>
        </w:rPr>
        <w:tab/>
      </w:r>
      <w:r w:rsidR="006D5F24" w:rsidRPr="00EE472F">
        <w:rPr>
          <w:bCs/>
          <w:color w:val="A6A6A6" w:themeColor="background1" w:themeShade="A6"/>
          <w:sz w:val="20"/>
          <w:szCs w:val="20"/>
        </w:rPr>
        <w:t>S McKenzie:</w:t>
      </w:r>
      <w:r w:rsidR="006D5F24" w:rsidRPr="00EE472F">
        <w:rPr>
          <w:bCs/>
          <w:color w:val="A6A6A6" w:themeColor="background1" w:themeShade="A6"/>
          <w:sz w:val="20"/>
          <w:szCs w:val="20"/>
        </w:rPr>
        <w:tab/>
      </w:r>
      <w:r w:rsidR="00C2163D">
        <w:rPr>
          <w:bCs/>
          <w:color w:val="A6A6A6" w:themeColor="background1" w:themeShade="A6"/>
          <w:sz w:val="20"/>
          <w:szCs w:val="20"/>
        </w:rPr>
        <w:t xml:space="preserve"> </w:t>
      </w:r>
      <w:r w:rsidR="006D5F24" w:rsidRPr="00EE472F">
        <w:rPr>
          <w:bCs/>
          <w:color w:val="A6A6A6" w:themeColor="background1" w:themeShade="A6"/>
          <w:sz w:val="20"/>
          <w:szCs w:val="20"/>
        </w:rPr>
        <w:t xml:space="preserve">Anderson, Anderson &amp; Brown </w:t>
      </w:r>
      <w:r w:rsidR="00751BD1" w:rsidRPr="00EE472F">
        <w:rPr>
          <w:bCs/>
          <w:color w:val="A6A6A6" w:themeColor="background1" w:themeShade="A6"/>
          <w:sz w:val="20"/>
          <w:szCs w:val="20"/>
        </w:rPr>
        <w:t xml:space="preserve"> </w:t>
      </w:r>
    </w:p>
    <w:p w14:paraId="0B9E389D" w14:textId="10D1BBD1" w:rsidR="00097451" w:rsidRDefault="00CB0ADF" w:rsidP="00CB0ADF">
      <w:pPr>
        <w:ind w:left="720"/>
        <w:rPr>
          <w:bCs/>
          <w:color w:val="A6A6A6" w:themeColor="background1" w:themeShade="A6"/>
          <w:sz w:val="20"/>
          <w:szCs w:val="20"/>
        </w:rPr>
      </w:pPr>
      <w:r w:rsidRPr="00EE472F">
        <w:rPr>
          <w:bCs/>
          <w:color w:val="A6A6A6" w:themeColor="background1" w:themeShade="A6"/>
          <w:sz w:val="20"/>
          <w:szCs w:val="20"/>
        </w:rPr>
        <w:tab/>
      </w:r>
      <w:r w:rsidR="00097451" w:rsidRPr="00EE472F">
        <w:rPr>
          <w:bCs/>
          <w:color w:val="A6A6A6" w:themeColor="background1" w:themeShade="A6"/>
          <w:sz w:val="20"/>
          <w:szCs w:val="20"/>
        </w:rPr>
        <w:t>D Strachan:</w:t>
      </w:r>
      <w:r w:rsidR="00097451" w:rsidRPr="00EE472F">
        <w:rPr>
          <w:bCs/>
          <w:color w:val="A6A6A6" w:themeColor="background1" w:themeShade="A6"/>
          <w:sz w:val="20"/>
          <w:szCs w:val="20"/>
        </w:rPr>
        <w:tab/>
      </w:r>
      <w:r w:rsidR="00C2163D">
        <w:rPr>
          <w:bCs/>
          <w:color w:val="A6A6A6" w:themeColor="background1" w:themeShade="A6"/>
          <w:sz w:val="20"/>
          <w:szCs w:val="20"/>
        </w:rPr>
        <w:t xml:space="preserve"> </w:t>
      </w:r>
      <w:r w:rsidR="00097451" w:rsidRPr="00EE472F">
        <w:rPr>
          <w:bCs/>
          <w:color w:val="A6A6A6" w:themeColor="background1" w:themeShade="A6"/>
          <w:sz w:val="20"/>
          <w:szCs w:val="20"/>
        </w:rPr>
        <w:t>CNOOC</w:t>
      </w:r>
    </w:p>
    <w:p w14:paraId="7DF32E12" w14:textId="77777777" w:rsidR="00CB0ADF" w:rsidRPr="00EE472F" w:rsidRDefault="00CB0ADF" w:rsidP="00EE472F">
      <w:pPr>
        <w:ind w:left="720"/>
        <w:rPr>
          <w:bCs/>
          <w:color w:val="A6A6A6" w:themeColor="background1" w:themeShade="A6"/>
          <w:sz w:val="20"/>
          <w:szCs w:val="20"/>
        </w:rPr>
      </w:pPr>
    </w:p>
    <w:p w14:paraId="1D811EB3" w14:textId="0B077FA0" w:rsidR="00CB0ADF" w:rsidRPr="00FB2F51" w:rsidRDefault="00CB0ADF" w:rsidP="00CB0ADF">
      <w:pPr>
        <w:pStyle w:val="ListParagraph"/>
        <w:numPr>
          <w:ilvl w:val="0"/>
          <w:numId w:val="27"/>
        </w:numPr>
        <w:rPr>
          <w:b/>
          <w:color w:val="A6A6A6" w:themeColor="background1" w:themeShade="A6"/>
          <w:sz w:val="20"/>
          <w:szCs w:val="20"/>
        </w:rPr>
      </w:pPr>
      <w:r w:rsidRPr="00FB2F51">
        <w:rPr>
          <w:b/>
          <w:color w:val="A6A6A6" w:themeColor="background1" w:themeShade="A6"/>
          <w:sz w:val="20"/>
          <w:szCs w:val="20"/>
        </w:rPr>
        <w:t>Original</w:t>
      </w:r>
      <w:r w:rsidR="00C2163D">
        <w:rPr>
          <w:b/>
          <w:color w:val="A6A6A6" w:themeColor="background1" w:themeShade="A6"/>
          <w:sz w:val="20"/>
          <w:szCs w:val="20"/>
        </w:rPr>
        <w:t>:</w:t>
      </w:r>
      <w:r w:rsidR="00C2163D">
        <w:rPr>
          <w:b/>
          <w:color w:val="A6A6A6" w:themeColor="background1" w:themeShade="A6"/>
          <w:sz w:val="20"/>
          <w:szCs w:val="20"/>
        </w:rPr>
        <w:tab/>
      </w:r>
      <w:r w:rsidRPr="00FB2F51">
        <w:rPr>
          <w:b/>
          <w:color w:val="A6A6A6" w:themeColor="background1" w:themeShade="A6"/>
          <w:sz w:val="20"/>
          <w:szCs w:val="20"/>
        </w:rPr>
        <w:t>issued March 2017 and prepared by:</w:t>
      </w:r>
    </w:p>
    <w:p w14:paraId="7D8382D4" w14:textId="77777777" w:rsidR="00CB0ADF" w:rsidRPr="00FB2F51" w:rsidRDefault="00CB0ADF" w:rsidP="00CB0ADF">
      <w:pPr>
        <w:ind w:left="720" w:firstLine="720"/>
        <w:rPr>
          <w:bCs/>
          <w:color w:val="A6A6A6" w:themeColor="background1" w:themeShade="A6"/>
          <w:sz w:val="20"/>
          <w:szCs w:val="20"/>
        </w:rPr>
      </w:pPr>
      <w:r w:rsidRPr="00FB2F51">
        <w:rPr>
          <w:bCs/>
          <w:color w:val="A6A6A6" w:themeColor="background1" w:themeShade="A6"/>
          <w:sz w:val="20"/>
          <w:szCs w:val="20"/>
        </w:rPr>
        <w:t>D Strachan:</w:t>
      </w:r>
      <w:r w:rsidRPr="00FB2F51">
        <w:rPr>
          <w:bCs/>
          <w:color w:val="A6A6A6" w:themeColor="background1" w:themeShade="A6"/>
          <w:sz w:val="20"/>
          <w:szCs w:val="20"/>
        </w:rPr>
        <w:tab/>
        <w:t>Nexen</w:t>
      </w:r>
    </w:p>
    <w:p w14:paraId="393EFBFF" w14:textId="77777777" w:rsidR="00CB0ADF" w:rsidRPr="00FB2F51" w:rsidRDefault="00CB0ADF" w:rsidP="00CB0ADF">
      <w:pPr>
        <w:ind w:left="1080" w:firstLine="360"/>
        <w:rPr>
          <w:bCs/>
          <w:color w:val="A6A6A6" w:themeColor="background1" w:themeShade="A6"/>
          <w:sz w:val="20"/>
          <w:szCs w:val="20"/>
        </w:rPr>
      </w:pPr>
      <w:r w:rsidRPr="00FB2F51">
        <w:rPr>
          <w:bCs/>
          <w:color w:val="A6A6A6" w:themeColor="background1" w:themeShade="A6"/>
          <w:sz w:val="20"/>
          <w:szCs w:val="20"/>
        </w:rPr>
        <w:t>A Russell:</w:t>
      </w:r>
      <w:r w:rsidRPr="00FB2F51">
        <w:rPr>
          <w:bCs/>
          <w:color w:val="A6A6A6" w:themeColor="background1" w:themeShade="A6"/>
          <w:sz w:val="20"/>
          <w:szCs w:val="20"/>
        </w:rPr>
        <w:tab/>
        <w:t>Robert Gordon University</w:t>
      </w:r>
    </w:p>
    <w:p w14:paraId="40563E94" w14:textId="77777777" w:rsidR="00CB0ADF" w:rsidRPr="00FB2F51" w:rsidRDefault="00CB0ADF" w:rsidP="00CB0ADF">
      <w:pPr>
        <w:ind w:left="1080" w:firstLine="360"/>
        <w:rPr>
          <w:bCs/>
          <w:color w:val="A6A6A6" w:themeColor="background1" w:themeShade="A6"/>
          <w:sz w:val="20"/>
          <w:szCs w:val="20"/>
        </w:rPr>
      </w:pPr>
      <w:r w:rsidRPr="00FB2F51">
        <w:rPr>
          <w:bCs/>
          <w:color w:val="A6A6A6" w:themeColor="background1" w:themeShade="A6"/>
          <w:sz w:val="20"/>
          <w:szCs w:val="20"/>
        </w:rPr>
        <w:t>L Ho:</w:t>
      </w:r>
      <w:r w:rsidRPr="00FB2F51">
        <w:rPr>
          <w:bCs/>
          <w:color w:val="A6A6A6" w:themeColor="background1" w:themeShade="A6"/>
          <w:sz w:val="20"/>
          <w:szCs w:val="20"/>
        </w:rPr>
        <w:tab/>
      </w:r>
      <w:r w:rsidRPr="00FB2F51">
        <w:rPr>
          <w:bCs/>
          <w:color w:val="A6A6A6" w:themeColor="background1" w:themeShade="A6"/>
          <w:sz w:val="20"/>
          <w:szCs w:val="20"/>
        </w:rPr>
        <w:tab/>
        <w:t>Marathon</w:t>
      </w:r>
    </w:p>
    <w:p w14:paraId="47AB7E8B" w14:textId="4273B6DC" w:rsidR="00CB0ADF" w:rsidRPr="00FB2F51" w:rsidRDefault="00CB0ADF" w:rsidP="00CB0ADF">
      <w:pPr>
        <w:ind w:left="720" w:firstLine="720"/>
        <w:rPr>
          <w:bCs/>
          <w:color w:val="A6A6A6" w:themeColor="background1" w:themeShade="A6"/>
          <w:sz w:val="20"/>
          <w:szCs w:val="20"/>
        </w:rPr>
      </w:pPr>
      <w:r w:rsidRPr="00FB2F51">
        <w:rPr>
          <w:bCs/>
          <w:color w:val="A6A6A6" w:themeColor="background1" w:themeShade="A6"/>
          <w:sz w:val="20"/>
          <w:szCs w:val="20"/>
        </w:rPr>
        <w:t>S McColl:</w:t>
      </w:r>
      <w:r w:rsidRPr="00FB2F51">
        <w:rPr>
          <w:bCs/>
          <w:color w:val="A6A6A6" w:themeColor="background1" w:themeShade="A6"/>
          <w:sz w:val="20"/>
          <w:szCs w:val="20"/>
        </w:rPr>
        <w:tab/>
        <w:t>Cono</w:t>
      </w:r>
      <w:r w:rsidR="00D04F4E">
        <w:rPr>
          <w:bCs/>
          <w:color w:val="A6A6A6" w:themeColor="background1" w:themeShade="A6"/>
          <w:sz w:val="20"/>
          <w:szCs w:val="20"/>
        </w:rPr>
        <w:t>coP</w:t>
      </w:r>
      <w:r w:rsidRPr="00FB2F51">
        <w:rPr>
          <w:bCs/>
          <w:color w:val="A6A6A6" w:themeColor="background1" w:themeShade="A6"/>
          <w:sz w:val="20"/>
          <w:szCs w:val="20"/>
        </w:rPr>
        <w:t>hillips</w:t>
      </w:r>
    </w:p>
    <w:p w14:paraId="19227EFA" w14:textId="33573A43" w:rsidR="00CB0ADF" w:rsidRPr="00FB2F51" w:rsidRDefault="00CB0ADF" w:rsidP="00CB0ADF">
      <w:pPr>
        <w:ind w:left="720" w:firstLine="720"/>
        <w:rPr>
          <w:bCs/>
          <w:color w:val="A6A6A6" w:themeColor="background1" w:themeShade="A6"/>
          <w:sz w:val="20"/>
          <w:szCs w:val="20"/>
        </w:rPr>
      </w:pPr>
      <w:r w:rsidRPr="00FB2F51">
        <w:rPr>
          <w:bCs/>
          <w:color w:val="A6A6A6" w:themeColor="background1" w:themeShade="A6"/>
          <w:sz w:val="20"/>
          <w:szCs w:val="20"/>
        </w:rPr>
        <w:t>L Geddes:</w:t>
      </w:r>
      <w:r w:rsidRPr="00FB2F51">
        <w:rPr>
          <w:bCs/>
          <w:color w:val="A6A6A6" w:themeColor="background1" w:themeShade="A6"/>
          <w:sz w:val="20"/>
          <w:szCs w:val="20"/>
        </w:rPr>
        <w:tab/>
        <w:t>Cono</w:t>
      </w:r>
      <w:r w:rsidR="00D04F4E">
        <w:rPr>
          <w:bCs/>
          <w:color w:val="A6A6A6" w:themeColor="background1" w:themeShade="A6"/>
          <w:sz w:val="20"/>
          <w:szCs w:val="20"/>
        </w:rPr>
        <w:t>co</w:t>
      </w:r>
      <w:r w:rsidR="000967AB">
        <w:rPr>
          <w:bCs/>
          <w:color w:val="A6A6A6" w:themeColor="background1" w:themeShade="A6"/>
          <w:sz w:val="20"/>
          <w:szCs w:val="20"/>
        </w:rPr>
        <w:t>P</w:t>
      </w:r>
      <w:r w:rsidRPr="00FB2F51">
        <w:rPr>
          <w:bCs/>
          <w:color w:val="A6A6A6" w:themeColor="background1" w:themeShade="A6"/>
          <w:sz w:val="20"/>
          <w:szCs w:val="20"/>
        </w:rPr>
        <w:t>hillips</w:t>
      </w:r>
    </w:p>
    <w:p w14:paraId="607F1F76" w14:textId="62A543B4" w:rsidR="00CE7581" w:rsidRDefault="00CB0ADF" w:rsidP="00D04F4E">
      <w:pPr>
        <w:ind w:left="720" w:firstLine="720"/>
        <w:rPr>
          <w:spacing w:val="5"/>
          <w:sz w:val="20"/>
          <w:szCs w:val="21"/>
        </w:rPr>
      </w:pPr>
      <w:r w:rsidRPr="00FB2F51">
        <w:rPr>
          <w:bCs/>
          <w:color w:val="A6A6A6" w:themeColor="background1" w:themeShade="A6"/>
          <w:sz w:val="20"/>
          <w:szCs w:val="20"/>
        </w:rPr>
        <w:t>J Arnott:</w:t>
      </w:r>
      <w:r w:rsidRPr="00FB2F51">
        <w:rPr>
          <w:bCs/>
          <w:color w:val="A6A6A6" w:themeColor="background1" w:themeShade="A6"/>
          <w:sz w:val="20"/>
          <w:szCs w:val="20"/>
        </w:rPr>
        <w:tab/>
        <w:t>Maersk</w:t>
      </w:r>
    </w:p>
    <w:sectPr w:rsidR="00CE7581">
      <w:pgSz w:w="11910" w:h="16840"/>
      <w:pgMar w:top="1620" w:right="980" w:bottom="1160" w:left="700" w:header="605" w:footer="96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A2B4D" w14:textId="77777777" w:rsidR="00744406" w:rsidRDefault="00744406">
      <w:r>
        <w:separator/>
      </w:r>
    </w:p>
  </w:endnote>
  <w:endnote w:type="continuationSeparator" w:id="0">
    <w:p w14:paraId="771AC9BE" w14:textId="77777777" w:rsidR="00744406" w:rsidRDefault="00744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42372"/>
      <w:docPartObj>
        <w:docPartGallery w:val="Page Numbers (Bottom of Page)"/>
        <w:docPartUnique/>
      </w:docPartObj>
    </w:sdtPr>
    <w:sdtEndPr>
      <w:rPr>
        <w:noProof/>
      </w:rPr>
    </w:sdtEndPr>
    <w:sdtContent>
      <w:p w14:paraId="20610567" w14:textId="01223E5C" w:rsidR="007D524D" w:rsidRDefault="008D19A3">
        <w:pPr>
          <w:pStyle w:val="Footer"/>
          <w:jc w:val="right"/>
        </w:pPr>
      </w:p>
    </w:sdtContent>
  </w:sdt>
  <w:p w14:paraId="4518F8EA" w14:textId="77777777" w:rsidR="00DC68EF" w:rsidRDefault="00DC68EF">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056130"/>
      <w:docPartObj>
        <w:docPartGallery w:val="Page Numbers (Bottom of Page)"/>
        <w:docPartUnique/>
      </w:docPartObj>
    </w:sdtPr>
    <w:sdtEndPr>
      <w:rPr>
        <w:noProof/>
      </w:rPr>
    </w:sdtEndPr>
    <w:sdtContent>
      <w:p w14:paraId="4FC4D359" w14:textId="2A8EB4AA" w:rsidR="00761F29" w:rsidRDefault="00761F29">
        <w:pPr>
          <w:pStyle w:val="Footer"/>
          <w:jc w:val="right"/>
        </w:pPr>
        <w:r>
          <w:fldChar w:fldCharType="begin"/>
        </w:r>
        <w:r>
          <w:instrText xml:space="preserve"> PAGE   \* MERGEFORMAT </w:instrText>
        </w:r>
        <w:r>
          <w:fldChar w:fldCharType="separate"/>
        </w:r>
        <w:r w:rsidR="00B12061">
          <w:rPr>
            <w:noProof/>
          </w:rPr>
          <w:t>3</w:t>
        </w:r>
        <w:r>
          <w:rPr>
            <w:noProof/>
          </w:rPr>
          <w:fldChar w:fldCharType="end"/>
        </w:r>
      </w:p>
    </w:sdtContent>
  </w:sdt>
  <w:p w14:paraId="4CECE4A8" w14:textId="77777777" w:rsidR="00761F29" w:rsidRDefault="00761F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B6EBE" w14:textId="77777777" w:rsidR="002860E8" w:rsidRDefault="002860E8">
    <w:pPr>
      <w:pStyle w:val="Footer"/>
      <w:jc w:val="right"/>
    </w:pPr>
  </w:p>
  <w:p w14:paraId="19D433F6" w14:textId="77777777" w:rsidR="007D524D" w:rsidRDefault="007D524D">
    <w:pPr>
      <w:pStyle w:val="BodyText"/>
      <w:spacing w:line="14" w:lineRule="auto"/>
      <w:rPr>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631110"/>
      <w:docPartObj>
        <w:docPartGallery w:val="Page Numbers (Bottom of Page)"/>
        <w:docPartUnique/>
      </w:docPartObj>
    </w:sdtPr>
    <w:sdtEndPr>
      <w:rPr>
        <w:noProof/>
      </w:rPr>
    </w:sdtEndPr>
    <w:sdtContent>
      <w:p w14:paraId="567283E6" w14:textId="6775967F" w:rsidR="00F67DF3" w:rsidRDefault="00F67DF3">
        <w:pPr>
          <w:pStyle w:val="Footer"/>
          <w:jc w:val="right"/>
        </w:pPr>
        <w:r>
          <w:fldChar w:fldCharType="begin"/>
        </w:r>
        <w:r>
          <w:instrText xml:space="preserve"> PAGE   \* MERGEFORMAT </w:instrText>
        </w:r>
        <w:r>
          <w:fldChar w:fldCharType="separate"/>
        </w:r>
        <w:r w:rsidR="00605D4A">
          <w:rPr>
            <w:noProof/>
          </w:rPr>
          <w:t>4</w:t>
        </w:r>
        <w:r>
          <w:rPr>
            <w:noProof/>
          </w:rPr>
          <w:fldChar w:fldCharType="end"/>
        </w:r>
      </w:p>
    </w:sdtContent>
  </w:sdt>
  <w:p w14:paraId="023AE780" w14:textId="77777777" w:rsidR="00F67DF3" w:rsidRDefault="00F67DF3">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4027B" w14:textId="77777777" w:rsidR="00744406" w:rsidRDefault="00744406">
      <w:r>
        <w:separator/>
      </w:r>
    </w:p>
  </w:footnote>
  <w:footnote w:type="continuationSeparator" w:id="0">
    <w:p w14:paraId="4C0EE9FA" w14:textId="77777777" w:rsidR="00744406" w:rsidRDefault="007444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12BDE" w14:textId="07C94AB4" w:rsidR="00DC68EF" w:rsidRDefault="00B85999">
    <w:pPr>
      <w:pStyle w:val="BodyText"/>
      <w:spacing w:line="14" w:lineRule="auto"/>
      <w:rPr>
        <w:sz w:val="20"/>
      </w:rPr>
    </w:pPr>
    <w:r>
      <w:rPr>
        <w:noProof/>
        <w:lang w:val="en-GB" w:eastAsia="en-GB"/>
      </w:rPr>
      <mc:AlternateContent>
        <mc:Choice Requires="wps">
          <w:drawing>
            <wp:anchor distT="0" distB="0" distL="114300" distR="114300" simplePos="0" relativeHeight="251656192" behindDoc="1" locked="0" layoutInCell="1" allowOverlap="1" wp14:anchorId="6F899FB4" wp14:editId="06B4AF36">
              <wp:simplePos x="0" y="0"/>
              <wp:positionH relativeFrom="page">
                <wp:posOffset>524570</wp:posOffset>
              </wp:positionH>
              <wp:positionV relativeFrom="page">
                <wp:posOffset>1026807</wp:posOffset>
              </wp:positionV>
              <wp:extent cx="9697732" cy="0"/>
              <wp:effectExtent l="0" t="0" r="0" b="0"/>
              <wp:wrapNone/>
              <wp:docPr id="9"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97732"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F31F97" id="Line 5"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3pt,80.85pt" to="804.9pt,8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" strokeweight=".48pt">
              <w10:wrap anchorx="page" anchory="page"/>
            </v:line>
          </w:pict>
        </mc:Fallback>
      </mc:AlternateContent>
    </w:r>
    <w:r w:rsidR="001E7D7E">
      <w:rPr>
        <w:noProof/>
        <w:lang w:val="en-GB" w:eastAsia="en-GB"/>
      </w:rPr>
      <mc:AlternateContent>
        <mc:Choice Requires="wps">
          <w:drawing>
            <wp:anchor distT="0" distB="0" distL="114300" distR="114300" simplePos="0" relativeHeight="251659264" behindDoc="0" locked="0" layoutInCell="1" allowOverlap="1" wp14:anchorId="23DB2011" wp14:editId="6E9EEE24">
              <wp:simplePos x="0" y="0"/>
              <wp:positionH relativeFrom="page">
                <wp:align>right</wp:align>
              </wp:positionH>
              <wp:positionV relativeFrom="page">
                <wp:posOffset>590549</wp:posOffset>
              </wp:positionV>
              <wp:extent cx="1409700" cy="17145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B09635" w14:textId="340969FD" w:rsidR="00DC68EF" w:rsidRPr="006604AD" w:rsidRDefault="007B30A9" w:rsidP="00EE472F">
                          <w:pPr>
                            <w:spacing w:before="10"/>
                            <w:ind w:left="20"/>
                            <w:rPr>
                              <w:sz w:val="18"/>
                              <w:szCs w:val="18"/>
                            </w:rPr>
                          </w:pPr>
                          <w:r w:rsidRPr="006604AD">
                            <w:rPr>
                              <w:sz w:val="18"/>
                              <w:szCs w:val="18"/>
                            </w:rPr>
                            <w:t>Revision</w:t>
                          </w:r>
                          <w:r w:rsidR="00EC5AA6">
                            <w:rPr>
                              <w:sz w:val="18"/>
                              <w:szCs w:val="18"/>
                            </w:rPr>
                            <w:t xml:space="preserve"> </w:t>
                          </w:r>
                          <w:r w:rsidR="001E7D7E">
                            <w:rPr>
                              <w:sz w:val="18"/>
                              <w:szCs w:val="18"/>
                            </w:rPr>
                            <w:t>2</w:t>
                          </w:r>
                          <w:r w:rsidR="00EC5AA6">
                            <w:rPr>
                              <w:sz w:val="18"/>
                              <w:szCs w:val="18"/>
                            </w:rPr>
                            <w:t xml:space="preserve">: </w:t>
                          </w:r>
                          <w:r w:rsidR="00C062C6">
                            <w:rPr>
                              <w:sz w:val="18"/>
                              <w:szCs w:val="18"/>
                            </w:rPr>
                            <w:t>May23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DB2011" id="_x0000_t202" coordsize="21600,21600" o:spt="202" path="m,l,21600r21600,l21600,xe">
              <v:stroke joinstyle="miter"/>
              <v:path gradientshapeok="t" o:connecttype="rect"/>
            </v:shapetype>
            <v:shape id="Text Box 2" o:spid="_x0000_s1026" type="#_x0000_t202" style="position:absolute;margin-left:59.8pt;margin-top:46.5pt;width:111pt;height:13.5pt;z-index:251659264;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" filled="f" stroked="f">
              <v:textbox inset="0,0,0,0">
                <w:txbxContent>
                  <w:p w14:paraId="4FB09635" w14:textId="340969FD" w:rsidR="00DC68EF" w:rsidRPr="006604AD" w:rsidRDefault="007B30A9" w:rsidP="00EE472F">
                    <w:pPr>
                      <w:spacing w:before="10"/>
                      <w:ind w:left="20"/>
                      <w:rPr>
                        <w:sz w:val="18"/>
                        <w:szCs w:val="18"/>
                      </w:rPr>
                    </w:pPr>
                    <w:r w:rsidRPr="006604AD">
                      <w:rPr>
                        <w:sz w:val="18"/>
                        <w:szCs w:val="18"/>
                      </w:rPr>
                      <w:t>Revision</w:t>
                    </w:r>
                    <w:r w:rsidR="00EC5AA6">
                      <w:rPr>
                        <w:sz w:val="18"/>
                        <w:szCs w:val="18"/>
                      </w:rPr>
                      <w:t xml:space="preserve"> </w:t>
                    </w:r>
                    <w:r w:rsidR="001E7D7E">
                      <w:rPr>
                        <w:sz w:val="18"/>
                        <w:szCs w:val="18"/>
                      </w:rPr>
                      <w:t>2</w:t>
                    </w:r>
                    <w:r w:rsidR="00EC5AA6">
                      <w:rPr>
                        <w:sz w:val="18"/>
                        <w:szCs w:val="18"/>
                      </w:rPr>
                      <w:t xml:space="preserve">: </w:t>
                    </w:r>
                    <w:r w:rsidR="00C062C6">
                      <w:rPr>
                        <w:sz w:val="18"/>
                        <w:szCs w:val="18"/>
                      </w:rPr>
                      <w:t>May23</w:t>
                    </w:r>
                  </w:p>
                </w:txbxContent>
              </v:textbox>
              <w10:wrap anchorx="page" anchory="page"/>
            </v:shape>
          </w:pict>
        </mc:Fallback>
      </mc:AlternateContent>
    </w:r>
    <w:r w:rsidR="00CE7581">
      <w:rPr>
        <w:noProof/>
      </w:rPr>
      <w:drawing>
        <wp:anchor distT="0" distB="0" distL="114300" distR="114300" simplePos="0" relativeHeight="251661312" behindDoc="0" locked="0" layoutInCell="1" allowOverlap="1" wp14:anchorId="09F1F025" wp14:editId="0F356984">
          <wp:simplePos x="0" y="0"/>
          <wp:positionH relativeFrom="column">
            <wp:posOffset>139700</wp:posOffset>
          </wp:positionH>
          <wp:positionV relativeFrom="paragraph">
            <wp:posOffset>-19685</wp:posOffset>
          </wp:positionV>
          <wp:extent cx="1390476" cy="514286"/>
          <wp:effectExtent l="0" t="0" r="635" b="6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390476" cy="514286"/>
                  </a:xfrm>
                  <a:prstGeom prst="rect">
                    <a:avLst/>
                  </a:prstGeom>
                </pic:spPr>
              </pic:pic>
            </a:graphicData>
          </a:graphic>
        </wp:anchor>
      </w:drawing>
    </w:r>
    <w:r w:rsidR="007B30A9">
      <w:rPr>
        <w:noProof/>
        <w:lang w:val="en-GB" w:eastAsia="en-GB"/>
      </w:rPr>
      <mc:AlternateContent>
        <mc:Choice Requires="wps">
          <w:drawing>
            <wp:anchor distT="0" distB="0" distL="114300" distR="114300" simplePos="0" relativeHeight="251658240" behindDoc="1" locked="0" layoutInCell="1" allowOverlap="1" wp14:anchorId="068E0225" wp14:editId="7DE723B2">
              <wp:simplePos x="0" y="0"/>
              <wp:positionH relativeFrom="page">
                <wp:posOffset>6151880</wp:posOffset>
              </wp:positionH>
              <wp:positionV relativeFrom="page">
                <wp:posOffset>367030</wp:posOffset>
              </wp:positionV>
              <wp:extent cx="676910" cy="224155"/>
              <wp:effectExtent l="0" t="635" r="0" b="381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91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D114A7" w14:textId="77777777" w:rsidR="00DC68EF" w:rsidRDefault="00DC68EF">
                          <w:pPr>
                            <w:spacing w:before="10"/>
                            <w:ind w:left="20"/>
                            <w:rPr>
                              <w:b/>
                              <w:sz w:val="28"/>
                            </w:rPr>
                          </w:pPr>
                          <w:r>
                            <w:rPr>
                              <w:b/>
                              <w:sz w:val="28"/>
                            </w:rPr>
                            <w:t>SOAP 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8E0225" id="Text Box 3" o:spid="_x0000_s1027" type="#_x0000_t202" style="position:absolute;margin-left:484.4pt;margin-top:28.9pt;width:53.3pt;height:17.6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" filled="f" stroked="f">
              <v:textbox inset="0,0,0,0">
                <w:txbxContent>
                  <w:p w14:paraId="56D114A7" w14:textId="77777777" w:rsidR="00DC68EF" w:rsidRDefault="00DC68EF">
                    <w:pPr>
                      <w:spacing w:before="10"/>
                      <w:ind w:left="20"/>
                      <w:rPr>
                        <w:b/>
                        <w:sz w:val="28"/>
                      </w:rPr>
                    </w:pPr>
                    <w:r>
                      <w:rPr>
                        <w:b/>
                        <w:sz w:val="28"/>
                      </w:rPr>
                      <w:t>SOAP 7</w:t>
                    </w:r>
                  </w:p>
                </w:txbxContent>
              </v:textbox>
              <w10:wrap anchorx="page" anchory="page"/>
            </v:shape>
          </w:pict>
        </mc:Fallback>
      </mc:AlternateContent>
    </w:r>
    <w:r w:rsidR="003441A1">
      <w:rPr>
        <w:noProof/>
        <w:lang w:val="en-GB" w:eastAsia="en-GB"/>
      </w:rPr>
      <mc:AlternateContent>
        <mc:Choice Requires="wps">
          <w:drawing>
            <wp:anchor distT="0" distB="0" distL="114300" distR="114300" simplePos="0" relativeHeight="251657216" behindDoc="1" locked="0" layoutInCell="1" allowOverlap="1" wp14:anchorId="33F65D13" wp14:editId="0D5D7EAB">
              <wp:simplePos x="0" y="0"/>
              <wp:positionH relativeFrom="page">
                <wp:posOffset>2405380</wp:posOffset>
              </wp:positionH>
              <wp:positionV relativeFrom="page">
                <wp:posOffset>371475</wp:posOffset>
              </wp:positionV>
              <wp:extent cx="2292350" cy="342265"/>
              <wp:effectExtent l="0" t="0" r="0" b="635"/>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0" cy="342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5DC3D3" w14:textId="77777777" w:rsidR="00DC68EF" w:rsidRDefault="00DC68EF">
                          <w:pPr>
                            <w:pStyle w:val="BodyText"/>
                            <w:spacing w:before="12"/>
                            <w:ind w:left="936" w:hanging="917"/>
                          </w:pPr>
                          <w:r>
                            <w:rPr>
                              <w:b/>
                            </w:rPr>
                            <w:t>S</w:t>
                          </w:r>
                          <w:r>
                            <w:t xml:space="preserve">tandard </w:t>
                          </w:r>
                          <w:r>
                            <w:rPr>
                              <w:b/>
                            </w:rPr>
                            <w:t>O</w:t>
                          </w:r>
                          <w:r>
                            <w:t xml:space="preserve">il </w:t>
                          </w:r>
                          <w:r>
                            <w:rPr>
                              <w:b/>
                            </w:rPr>
                            <w:t>A</w:t>
                          </w:r>
                          <w:r>
                            <w:t xml:space="preserve">ccounting </w:t>
                          </w:r>
                          <w:r>
                            <w:rPr>
                              <w:b/>
                            </w:rPr>
                            <w:t>P</w:t>
                          </w:r>
                          <w:r>
                            <w:t>rocedures Decommissioning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F65D13" id="Text Box 4" o:spid="_x0000_s1028" type="#_x0000_t202" style="position:absolute;margin-left:189.4pt;margin-top:29.25pt;width:180.5pt;height:26.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" filled="f" stroked="f">
              <v:textbox inset="0,0,0,0">
                <w:txbxContent>
                  <w:p w14:paraId="605DC3D3" w14:textId="77777777" w:rsidR="00DC68EF" w:rsidRDefault="00DC68EF">
                    <w:pPr>
                      <w:pStyle w:val="BodyText"/>
                      <w:spacing w:before="12"/>
                      <w:ind w:left="936" w:hanging="917"/>
                    </w:pPr>
                    <w:r>
                      <w:rPr>
                        <w:b/>
                      </w:rPr>
                      <w:t>S</w:t>
                    </w:r>
                    <w:r>
                      <w:t xml:space="preserve">tandard </w:t>
                    </w:r>
                    <w:r>
                      <w:rPr>
                        <w:b/>
                      </w:rPr>
                      <w:t>O</w:t>
                    </w:r>
                    <w:r>
                      <w:t xml:space="preserve">il </w:t>
                    </w:r>
                    <w:r>
                      <w:rPr>
                        <w:b/>
                      </w:rPr>
                      <w:t>A</w:t>
                    </w:r>
                    <w:r>
                      <w:t xml:space="preserve">ccounting </w:t>
                    </w:r>
                    <w:r>
                      <w:rPr>
                        <w:b/>
                      </w:rPr>
                      <w:t>P</w:t>
                    </w:r>
                    <w:r>
                      <w:t>rocedures Decommissioning</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C34C9"/>
    <w:multiLevelType w:val="hybridMultilevel"/>
    <w:tmpl w:val="6CCADE7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34350B0"/>
    <w:multiLevelType w:val="hybridMultilevel"/>
    <w:tmpl w:val="54C456F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920128"/>
    <w:multiLevelType w:val="hybridMultilevel"/>
    <w:tmpl w:val="6700D96E"/>
    <w:lvl w:ilvl="0" w:tplc="0809001B">
      <w:start w:val="1"/>
      <w:numFmt w:val="lowerRoman"/>
      <w:lvlText w:val="%1."/>
      <w:lvlJc w:val="righ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A807E0C"/>
    <w:multiLevelType w:val="hybridMultilevel"/>
    <w:tmpl w:val="FB12AE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EF3259A"/>
    <w:multiLevelType w:val="hybridMultilevel"/>
    <w:tmpl w:val="6A4A0BDE"/>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5650887"/>
    <w:multiLevelType w:val="hybridMultilevel"/>
    <w:tmpl w:val="54383F22"/>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D56198B"/>
    <w:multiLevelType w:val="hybridMultilevel"/>
    <w:tmpl w:val="4288B59C"/>
    <w:lvl w:ilvl="0" w:tplc="9D70524E">
      <w:numFmt w:val="bullet"/>
      <w:lvlText w:val=""/>
      <w:lvlJc w:val="left"/>
      <w:pPr>
        <w:ind w:left="1230" w:hanging="361"/>
      </w:pPr>
      <w:rPr>
        <w:rFonts w:ascii="Symbol" w:eastAsia="Symbol" w:hAnsi="Symbol" w:cs="Symbol" w:hint="default"/>
        <w:w w:val="99"/>
        <w:sz w:val="22"/>
        <w:szCs w:val="22"/>
      </w:rPr>
    </w:lvl>
    <w:lvl w:ilvl="1" w:tplc="DF5443D0">
      <w:numFmt w:val="bullet"/>
      <w:lvlText w:val="•"/>
      <w:lvlJc w:val="left"/>
      <w:pPr>
        <w:ind w:left="2138" w:hanging="361"/>
      </w:pPr>
      <w:rPr>
        <w:rFonts w:hint="default"/>
      </w:rPr>
    </w:lvl>
    <w:lvl w:ilvl="2" w:tplc="EE5C0958">
      <w:numFmt w:val="bullet"/>
      <w:lvlText w:val="•"/>
      <w:lvlJc w:val="left"/>
      <w:pPr>
        <w:ind w:left="3036" w:hanging="361"/>
      </w:pPr>
      <w:rPr>
        <w:rFonts w:hint="default"/>
      </w:rPr>
    </w:lvl>
    <w:lvl w:ilvl="3" w:tplc="BFEAF3DE">
      <w:numFmt w:val="bullet"/>
      <w:lvlText w:val="•"/>
      <w:lvlJc w:val="left"/>
      <w:pPr>
        <w:ind w:left="3935" w:hanging="361"/>
      </w:pPr>
      <w:rPr>
        <w:rFonts w:hint="default"/>
      </w:rPr>
    </w:lvl>
    <w:lvl w:ilvl="4" w:tplc="34AC2FAA">
      <w:numFmt w:val="bullet"/>
      <w:lvlText w:val="•"/>
      <w:lvlJc w:val="left"/>
      <w:pPr>
        <w:ind w:left="4833" w:hanging="361"/>
      </w:pPr>
      <w:rPr>
        <w:rFonts w:hint="default"/>
      </w:rPr>
    </w:lvl>
    <w:lvl w:ilvl="5" w:tplc="F806B244">
      <w:numFmt w:val="bullet"/>
      <w:lvlText w:val="•"/>
      <w:lvlJc w:val="left"/>
      <w:pPr>
        <w:ind w:left="5732" w:hanging="361"/>
      </w:pPr>
      <w:rPr>
        <w:rFonts w:hint="default"/>
      </w:rPr>
    </w:lvl>
    <w:lvl w:ilvl="6" w:tplc="4AC6E360">
      <w:numFmt w:val="bullet"/>
      <w:lvlText w:val="•"/>
      <w:lvlJc w:val="left"/>
      <w:pPr>
        <w:ind w:left="6630" w:hanging="361"/>
      </w:pPr>
      <w:rPr>
        <w:rFonts w:hint="default"/>
      </w:rPr>
    </w:lvl>
    <w:lvl w:ilvl="7" w:tplc="5E6A7A74">
      <w:numFmt w:val="bullet"/>
      <w:lvlText w:val="•"/>
      <w:lvlJc w:val="left"/>
      <w:pPr>
        <w:ind w:left="7529" w:hanging="361"/>
      </w:pPr>
      <w:rPr>
        <w:rFonts w:hint="default"/>
      </w:rPr>
    </w:lvl>
    <w:lvl w:ilvl="8" w:tplc="38CA1E08">
      <w:numFmt w:val="bullet"/>
      <w:lvlText w:val="•"/>
      <w:lvlJc w:val="left"/>
      <w:pPr>
        <w:ind w:left="8427" w:hanging="361"/>
      </w:pPr>
      <w:rPr>
        <w:rFonts w:hint="default"/>
      </w:rPr>
    </w:lvl>
  </w:abstractNum>
  <w:abstractNum w:abstractNumId="7" w15:restartNumberingAfterBreak="0">
    <w:nsid w:val="1F441982"/>
    <w:multiLevelType w:val="hybridMultilevel"/>
    <w:tmpl w:val="81981544"/>
    <w:lvl w:ilvl="0" w:tplc="2794B640">
      <w:start w:val="1"/>
      <w:numFmt w:val="decimal"/>
      <w:lvlText w:val="%1"/>
      <w:lvlJc w:val="left"/>
      <w:pPr>
        <w:ind w:left="824" w:hanging="540"/>
      </w:pPr>
      <w:rPr>
        <w:rFonts w:ascii="Arial" w:eastAsia="Arial" w:hAnsi="Arial" w:cs="Arial" w:hint="default"/>
        <w:w w:val="100"/>
        <w:sz w:val="20"/>
        <w:szCs w:val="20"/>
      </w:rPr>
    </w:lvl>
    <w:lvl w:ilvl="1" w:tplc="00EEFF02">
      <w:numFmt w:val="bullet"/>
      <w:lvlText w:val="•"/>
      <w:lvlJc w:val="left"/>
      <w:pPr>
        <w:ind w:left="1734" w:hanging="540"/>
      </w:pPr>
      <w:rPr>
        <w:rFonts w:hint="default"/>
      </w:rPr>
    </w:lvl>
    <w:lvl w:ilvl="2" w:tplc="82987666">
      <w:numFmt w:val="bullet"/>
      <w:lvlText w:val="•"/>
      <w:lvlJc w:val="left"/>
      <w:pPr>
        <w:ind w:left="2644" w:hanging="540"/>
      </w:pPr>
      <w:rPr>
        <w:rFonts w:hint="default"/>
      </w:rPr>
    </w:lvl>
    <w:lvl w:ilvl="3" w:tplc="A1DAC842">
      <w:numFmt w:val="bullet"/>
      <w:lvlText w:val="•"/>
      <w:lvlJc w:val="left"/>
      <w:pPr>
        <w:ind w:left="3554" w:hanging="540"/>
      </w:pPr>
      <w:rPr>
        <w:rFonts w:hint="default"/>
      </w:rPr>
    </w:lvl>
    <w:lvl w:ilvl="4" w:tplc="1C66DD84">
      <w:numFmt w:val="bullet"/>
      <w:lvlText w:val="•"/>
      <w:lvlJc w:val="left"/>
      <w:pPr>
        <w:ind w:left="4464" w:hanging="540"/>
      </w:pPr>
      <w:rPr>
        <w:rFonts w:hint="default"/>
      </w:rPr>
    </w:lvl>
    <w:lvl w:ilvl="5" w:tplc="C3901806">
      <w:numFmt w:val="bullet"/>
      <w:lvlText w:val="•"/>
      <w:lvlJc w:val="left"/>
      <w:pPr>
        <w:ind w:left="5374" w:hanging="540"/>
      </w:pPr>
      <w:rPr>
        <w:rFonts w:hint="default"/>
      </w:rPr>
    </w:lvl>
    <w:lvl w:ilvl="6" w:tplc="180289B8">
      <w:numFmt w:val="bullet"/>
      <w:lvlText w:val="•"/>
      <w:lvlJc w:val="left"/>
      <w:pPr>
        <w:ind w:left="6284" w:hanging="540"/>
      </w:pPr>
      <w:rPr>
        <w:rFonts w:hint="default"/>
      </w:rPr>
    </w:lvl>
    <w:lvl w:ilvl="7" w:tplc="CC10FA40">
      <w:numFmt w:val="bullet"/>
      <w:lvlText w:val="•"/>
      <w:lvlJc w:val="left"/>
      <w:pPr>
        <w:ind w:left="7194" w:hanging="540"/>
      </w:pPr>
      <w:rPr>
        <w:rFonts w:hint="default"/>
      </w:rPr>
    </w:lvl>
    <w:lvl w:ilvl="8" w:tplc="F440F9A6">
      <w:numFmt w:val="bullet"/>
      <w:lvlText w:val="•"/>
      <w:lvlJc w:val="left"/>
      <w:pPr>
        <w:ind w:left="8104" w:hanging="540"/>
      </w:pPr>
      <w:rPr>
        <w:rFonts w:hint="default"/>
      </w:rPr>
    </w:lvl>
  </w:abstractNum>
  <w:abstractNum w:abstractNumId="8" w15:restartNumberingAfterBreak="0">
    <w:nsid w:val="24E1119C"/>
    <w:multiLevelType w:val="hybridMultilevel"/>
    <w:tmpl w:val="180E3C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E164D87"/>
    <w:multiLevelType w:val="hybridMultilevel"/>
    <w:tmpl w:val="F9F6FB1C"/>
    <w:lvl w:ilvl="0" w:tplc="020E3F54">
      <w:numFmt w:val="bullet"/>
      <w:lvlText w:val=""/>
      <w:lvlJc w:val="left"/>
      <w:pPr>
        <w:ind w:left="1710" w:hanging="427"/>
      </w:pPr>
      <w:rPr>
        <w:rFonts w:ascii="Symbol" w:eastAsia="Symbol" w:hAnsi="Symbol" w:cs="Symbol" w:hint="default"/>
        <w:w w:val="99"/>
        <w:sz w:val="22"/>
        <w:szCs w:val="22"/>
      </w:rPr>
    </w:lvl>
    <w:lvl w:ilvl="1" w:tplc="E87A0E3E">
      <w:numFmt w:val="bullet"/>
      <w:lvlText w:val="•"/>
      <w:lvlJc w:val="left"/>
      <w:pPr>
        <w:ind w:left="2570" w:hanging="427"/>
      </w:pPr>
      <w:rPr>
        <w:rFonts w:hint="default"/>
      </w:rPr>
    </w:lvl>
    <w:lvl w:ilvl="2" w:tplc="C66E01E8">
      <w:numFmt w:val="bullet"/>
      <w:lvlText w:val="•"/>
      <w:lvlJc w:val="left"/>
      <w:pPr>
        <w:ind w:left="3420" w:hanging="427"/>
      </w:pPr>
      <w:rPr>
        <w:rFonts w:hint="default"/>
      </w:rPr>
    </w:lvl>
    <w:lvl w:ilvl="3" w:tplc="814CE460">
      <w:numFmt w:val="bullet"/>
      <w:lvlText w:val="•"/>
      <w:lvlJc w:val="left"/>
      <w:pPr>
        <w:ind w:left="4271" w:hanging="427"/>
      </w:pPr>
      <w:rPr>
        <w:rFonts w:hint="default"/>
      </w:rPr>
    </w:lvl>
    <w:lvl w:ilvl="4" w:tplc="DAC08F0A">
      <w:numFmt w:val="bullet"/>
      <w:lvlText w:val="•"/>
      <w:lvlJc w:val="left"/>
      <w:pPr>
        <w:ind w:left="5121" w:hanging="427"/>
      </w:pPr>
      <w:rPr>
        <w:rFonts w:hint="default"/>
      </w:rPr>
    </w:lvl>
    <w:lvl w:ilvl="5" w:tplc="0FA23646">
      <w:numFmt w:val="bullet"/>
      <w:lvlText w:val="•"/>
      <w:lvlJc w:val="left"/>
      <w:pPr>
        <w:ind w:left="5972" w:hanging="427"/>
      </w:pPr>
      <w:rPr>
        <w:rFonts w:hint="default"/>
      </w:rPr>
    </w:lvl>
    <w:lvl w:ilvl="6" w:tplc="73CAA4EE">
      <w:numFmt w:val="bullet"/>
      <w:lvlText w:val="•"/>
      <w:lvlJc w:val="left"/>
      <w:pPr>
        <w:ind w:left="6822" w:hanging="427"/>
      </w:pPr>
      <w:rPr>
        <w:rFonts w:hint="default"/>
      </w:rPr>
    </w:lvl>
    <w:lvl w:ilvl="7" w:tplc="CD746EEC">
      <w:numFmt w:val="bullet"/>
      <w:lvlText w:val="•"/>
      <w:lvlJc w:val="left"/>
      <w:pPr>
        <w:ind w:left="7673" w:hanging="427"/>
      </w:pPr>
      <w:rPr>
        <w:rFonts w:hint="default"/>
      </w:rPr>
    </w:lvl>
    <w:lvl w:ilvl="8" w:tplc="E0920720">
      <w:numFmt w:val="bullet"/>
      <w:lvlText w:val="•"/>
      <w:lvlJc w:val="left"/>
      <w:pPr>
        <w:ind w:left="8523" w:hanging="427"/>
      </w:pPr>
      <w:rPr>
        <w:rFonts w:hint="default"/>
      </w:rPr>
    </w:lvl>
  </w:abstractNum>
  <w:abstractNum w:abstractNumId="10" w15:restartNumberingAfterBreak="0">
    <w:nsid w:val="32CA2D40"/>
    <w:multiLevelType w:val="hybridMultilevel"/>
    <w:tmpl w:val="42BED5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35B6037"/>
    <w:multiLevelType w:val="hybridMultilevel"/>
    <w:tmpl w:val="EB06EB4C"/>
    <w:lvl w:ilvl="0" w:tplc="62C474D8">
      <w:start w:val="1"/>
      <w:numFmt w:val="decimal"/>
      <w:lvlText w:val="%1."/>
      <w:lvlJc w:val="left"/>
      <w:pPr>
        <w:ind w:left="1143" w:hanging="567"/>
      </w:pPr>
      <w:rPr>
        <w:rFonts w:ascii="Arial" w:eastAsia="Arial" w:hAnsi="Arial" w:cs="Arial" w:hint="default"/>
        <w:w w:val="99"/>
        <w:sz w:val="22"/>
        <w:szCs w:val="22"/>
      </w:rPr>
    </w:lvl>
    <w:lvl w:ilvl="1" w:tplc="11BE0436">
      <w:numFmt w:val="bullet"/>
      <w:lvlText w:val="•"/>
      <w:lvlJc w:val="left"/>
      <w:pPr>
        <w:ind w:left="2048" w:hanging="567"/>
      </w:pPr>
      <w:rPr>
        <w:rFonts w:hint="default"/>
      </w:rPr>
    </w:lvl>
    <w:lvl w:ilvl="2" w:tplc="010CA124">
      <w:numFmt w:val="bullet"/>
      <w:lvlText w:val="•"/>
      <w:lvlJc w:val="left"/>
      <w:pPr>
        <w:ind w:left="2956" w:hanging="567"/>
      </w:pPr>
      <w:rPr>
        <w:rFonts w:hint="default"/>
      </w:rPr>
    </w:lvl>
    <w:lvl w:ilvl="3" w:tplc="92542446">
      <w:numFmt w:val="bullet"/>
      <w:lvlText w:val="•"/>
      <w:lvlJc w:val="left"/>
      <w:pPr>
        <w:ind w:left="3865" w:hanging="567"/>
      </w:pPr>
      <w:rPr>
        <w:rFonts w:hint="default"/>
      </w:rPr>
    </w:lvl>
    <w:lvl w:ilvl="4" w:tplc="EA66026C">
      <w:numFmt w:val="bullet"/>
      <w:lvlText w:val="•"/>
      <w:lvlJc w:val="left"/>
      <w:pPr>
        <w:ind w:left="4773" w:hanging="567"/>
      </w:pPr>
      <w:rPr>
        <w:rFonts w:hint="default"/>
      </w:rPr>
    </w:lvl>
    <w:lvl w:ilvl="5" w:tplc="42D8B49A">
      <w:numFmt w:val="bullet"/>
      <w:lvlText w:val="•"/>
      <w:lvlJc w:val="left"/>
      <w:pPr>
        <w:ind w:left="5682" w:hanging="567"/>
      </w:pPr>
      <w:rPr>
        <w:rFonts w:hint="default"/>
      </w:rPr>
    </w:lvl>
    <w:lvl w:ilvl="6" w:tplc="2972729E">
      <w:numFmt w:val="bullet"/>
      <w:lvlText w:val="•"/>
      <w:lvlJc w:val="left"/>
      <w:pPr>
        <w:ind w:left="6590" w:hanging="567"/>
      </w:pPr>
      <w:rPr>
        <w:rFonts w:hint="default"/>
      </w:rPr>
    </w:lvl>
    <w:lvl w:ilvl="7" w:tplc="7AF23136">
      <w:numFmt w:val="bullet"/>
      <w:lvlText w:val="•"/>
      <w:lvlJc w:val="left"/>
      <w:pPr>
        <w:ind w:left="7499" w:hanging="567"/>
      </w:pPr>
      <w:rPr>
        <w:rFonts w:hint="default"/>
      </w:rPr>
    </w:lvl>
    <w:lvl w:ilvl="8" w:tplc="5214332A">
      <w:numFmt w:val="bullet"/>
      <w:lvlText w:val="•"/>
      <w:lvlJc w:val="left"/>
      <w:pPr>
        <w:ind w:left="8407" w:hanging="567"/>
      </w:pPr>
      <w:rPr>
        <w:rFonts w:hint="default"/>
      </w:rPr>
    </w:lvl>
  </w:abstractNum>
  <w:abstractNum w:abstractNumId="12" w15:restartNumberingAfterBreak="0">
    <w:nsid w:val="3E494A67"/>
    <w:multiLevelType w:val="hybridMultilevel"/>
    <w:tmpl w:val="1A1CF842"/>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15:restartNumberingAfterBreak="0">
    <w:nsid w:val="40967D51"/>
    <w:multiLevelType w:val="hybridMultilevel"/>
    <w:tmpl w:val="F1F84F4E"/>
    <w:lvl w:ilvl="0" w:tplc="F8405CBE">
      <w:start w:val="1"/>
      <w:numFmt w:val="decimal"/>
      <w:lvlText w:val="%1"/>
      <w:lvlJc w:val="left"/>
      <w:pPr>
        <w:ind w:left="6096" w:hanging="426"/>
        <w:jc w:val="right"/>
      </w:pPr>
      <w:rPr>
        <w:rFonts w:ascii="Arial" w:eastAsia="Arial" w:hAnsi="Arial" w:cs="Arial" w:hint="default"/>
        <w:b/>
        <w:bCs/>
        <w:w w:val="99"/>
        <w:sz w:val="24"/>
        <w:szCs w:val="22"/>
      </w:rPr>
    </w:lvl>
    <w:lvl w:ilvl="1" w:tplc="3B0ED8A4">
      <w:start w:val="1"/>
      <w:numFmt w:val="lowerRoman"/>
      <w:lvlText w:val="%2."/>
      <w:lvlJc w:val="left"/>
      <w:pPr>
        <w:ind w:left="1852" w:hanging="536"/>
      </w:pPr>
      <w:rPr>
        <w:rFonts w:ascii="Arial" w:eastAsia="Arial" w:hAnsi="Arial" w:cs="Arial" w:hint="default"/>
        <w:w w:val="99"/>
        <w:sz w:val="22"/>
        <w:szCs w:val="22"/>
      </w:rPr>
    </w:lvl>
    <w:lvl w:ilvl="2" w:tplc="92AC4F22">
      <w:numFmt w:val="bullet"/>
      <w:lvlText w:val="•"/>
      <w:lvlJc w:val="left"/>
      <w:pPr>
        <w:ind w:left="2789" w:hanging="536"/>
      </w:pPr>
      <w:rPr>
        <w:rFonts w:hint="default"/>
      </w:rPr>
    </w:lvl>
    <w:lvl w:ilvl="3" w:tplc="54E43CA4">
      <w:numFmt w:val="bullet"/>
      <w:lvlText w:val="•"/>
      <w:lvlJc w:val="left"/>
      <w:pPr>
        <w:ind w:left="3718" w:hanging="536"/>
      </w:pPr>
      <w:rPr>
        <w:rFonts w:hint="default"/>
      </w:rPr>
    </w:lvl>
    <w:lvl w:ilvl="4" w:tplc="C65EAEB6">
      <w:numFmt w:val="bullet"/>
      <w:lvlText w:val="•"/>
      <w:lvlJc w:val="left"/>
      <w:pPr>
        <w:ind w:left="4648" w:hanging="536"/>
      </w:pPr>
      <w:rPr>
        <w:rFonts w:hint="default"/>
      </w:rPr>
    </w:lvl>
    <w:lvl w:ilvl="5" w:tplc="FC42F57A">
      <w:numFmt w:val="bullet"/>
      <w:lvlText w:val="•"/>
      <w:lvlJc w:val="left"/>
      <w:pPr>
        <w:ind w:left="5577" w:hanging="536"/>
      </w:pPr>
      <w:rPr>
        <w:rFonts w:hint="default"/>
      </w:rPr>
    </w:lvl>
    <w:lvl w:ilvl="6" w:tplc="01627480">
      <w:numFmt w:val="bullet"/>
      <w:lvlText w:val="•"/>
      <w:lvlJc w:val="left"/>
      <w:pPr>
        <w:ind w:left="6506" w:hanging="536"/>
      </w:pPr>
      <w:rPr>
        <w:rFonts w:hint="default"/>
      </w:rPr>
    </w:lvl>
    <w:lvl w:ilvl="7" w:tplc="ED28A286">
      <w:numFmt w:val="bullet"/>
      <w:lvlText w:val="•"/>
      <w:lvlJc w:val="left"/>
      <w:pPr>
        <w:ind w:left="7436" w:hanging="536"/>
      </w:pPr>
      <w:rPr>
        <w:rFonts w:hint="default"/>
      </w:rPr>
    </w:lvl>
    <w:lvl w:ilvl="8" w:tplc="8B5CF2C0">
      <w:numFmt w:val="bullet"/>
      <w:lvlText w:val="•"/>
      <w:lvlJc w:val="left"/>
      <w:pPr>
        <w:ind w:left="8365" w:hanging="536"/>
      </w:pPr>
      <w:rPr>
        <w:rFonts w:hint="default"/>
      </w:rPr>
    </w:lvl>
  </w:abstractNum>
  <w:abstractNum w:abstractNumId="14" w15:restartNumberingAfterBreak="0">
    <w:nsid w:val="43961B80"/>
    <w:multiLevelType w:val="hybridMultilevel"/>
    <w:tmpl w:val="65D887A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457D1054"/>
    <w:multiLevelType w:val="hybridMultilevel"/>
    <w:tmpl w:val="29A4C282"/>
    <w:lvl w:ilvl="0" w:tplc="08090001">
      <w:start w:val="1"/>
      <w:numFmt w:val="bullet"/>
      <w:lvlText w:val=""/>
      <w:lvlJc w:val="left"/>
      <w:pPr>
        <w:ind w:left="1438" w:hanging="360"/>
      </w:pPr>
      <w:rPr>
        <w:rFonts w:ascii="Symbol" w:hAnsi="Symbol" w:hint="default"/>
      </w:rPr>
    </w:lvl>
    <w:lvl w:ilvl="1" w:tplc="08090003">
      <w:start w:val="1"/>
      <w:numFmt w:val="bullet"/>
      <w:lvlText w:val="o"/>
      <w:lvlJc w:val="left"/>
      <w:pPr>
        <w:ind w:left="2158" w:hanging="360"/>
      </w:pPr>
      <w:rPr>
        <w:rFonts w:ascii="Courier New" w:hAnsi="Courier New" w:cs="Courier New" w:hint="default"/>
      </w:rPr>
    </w:lvl>
    <w:lvl w:ilvl="2" w:tplc="08090005" w:tentative="1">
      <w:start w:val="1"/>
      <w:numFmt w:val="bullet"/>
      <w:lvlText w:val=""/>
      <w:lvlJc w:val="left"/>
      <w:pPr>
        <w:ind w:left="2878" w:hanging="360"/>
      </w:pPr>
      <w:rPr>
        <w:rFonts w:ascii="Wingdings" w:hAnsi="Wingdings" w:hint="default"/>
      </w:rPr>
    </w:lvl>
    <w:lvl w:ilvl="3" w:tplc="08090001" w:tentative="1">
      <w:start w:val="1"/>
      <w:numFmt w:val="bullet"/>
      <w:lvlText w:val=""/>
      <w:lvlJc w:val="left"/>
      <w:pPr>
        <w:ind w:left="3598" w:hanging="360"/>
      </w:pPr>
      <w:rPr>
        <w:rFonts w:ascii="Symbol" w:hAnsi="Symbol" w:hint="default"/>
      </w:rPr>
    </w:lvl>
    <w:lvl w:ilvl="4" w:tplc="08090003" w:tentative="1">
      <w:start w:val="1"/>
      <w:numFmt w:val="bullet"/>
      <w:lvlText w:val="o"/>
      <w:lvlJc w:val="left"/>
      <w:pPr>
        <w:ind w:left="4318" w:hanging="360"/>
      </w:pPr>
      <w:rPr>
        <w:rFonts w:ascii="Courier New" w:hAnsi="Courier New" w:cs="Courier New" w:hint="default"/>
      </w:rPr>
    </w:lvl>
    <w:lvl w:ilvl="5" w:tplc="08090005" w:tentative="1">
      <w:start w:val="1"/>
      <w:numFmt w:val="bullet"/>
      <w:lvlText w:val=""/>
      <w:lvlJc w:val="left"/>
      <w:pPr>
        <w:ind w:left="5038" w:hanging="360"/>
      </w:pPr>
      <w:rPr>
        <w:rFonts w:ascii="Wingdings" w:hAnsi="Wingdings" w:hint="default"/>
      </w:rPr>
    </w:lvl>
    <w:lvl w:ilvl="6" w:tplc="08090001" w:tentative="1">
      <w:start w:val="1"/>
      <w:numFmt w:val="bullet"/>
      <w:lvlText w:val=""/>
      <w:lvlJc w:val="left"/>
      <w:pPr>
        <w:ind w:left="5758" w:hanging="360"/>
      </w:pPr>
      <w:rPr>
        <w:rFonts w:ascii="Symbol" w:hAnsi="Symbol" w:hint="default"/>
      </w:rPr>
    </w:lvl>
    <w:lvl w:ilvl="7" w:tplc="08090003" w:tentative="1">
      <w:start w:val="1"/>
      <w:numFmt w:val="bullet"/>
      <w:lvlText w:val="o"/>
      <w:lvlJc w:val="left"/>
      <w:pPr>
        <w:ind w:left="6478" w:hanging="360"/>
      </w:pPr>
      <w:rPr>
        <w:rFonts w:ascii="Courier New" w:hAnsi="Courier New" w:cs="Courier New" w:hint="default"/>
      </w:rPr>
    </w:lvl>
    <w:lvl w:ilvl="8" w:tplc="08090005" w:tentative="1">
      <w:start w:val="1"/>
      <w:numFmt w:val="bullet"/>
      <w:lvlText w:val=""/>
      <w:lvlJc w:val="left"/>
      <w:pPr>
        <w:ind w:left="7198" w:hanging="360"/>
      </w:pPr>
      <w:rPr>
        <w:rFonts w:ascii="Wingdings" w:hAnsi="Wingdings" w:hint="default"/>
      </w:rPr>
    </w:lvl>
  </w:abstractNum>
  <w:abstractNum w:abstractNumId="16" w15:restartNumberingAfterBreak="0">
    <w:nsid w:val="4B1D4CAF"/>
    <w:multiLevelType w:val="hybridMultilevel"/>
    <w:tmpl w:val="37D07C90"/>
    <w:lvl w:ilvl="0" w:tplc="2C1EC9A0">
      <w:start w:val="1"/>
      <w:numFmt w:val="upperRoman"/>
      <w:lvlText w:val="%1."/>
      <w:lvlJc w:val="left"/>
      <w:pPr>
        <w:ind w:left="2418" w:hanging="689"/>
        <w:jc w:val="right"/>
      </w:pPr>
      <w:rPr>
        <w:rFonts w:ascii="Arial" w:eastAsia="Arial" w:hAnsi="Arial" w:cs="Arial" w:hint="default"/>
        <w:w w:val="99"/>
        <w:sz w:val="22"/>
        <w:szCs w:val="22"/>
      </w:rPr>
    </w:lvl>
    <w:lvl w:ilvl="1" w:tplc="79845BB8">
      <w:numFmt w:val="bullet"/>
      <w:lvlText w:val="•"/>
      <w:lvlJc w:val="left"/>
      <w:pPr>
        <w:ind w:left="3200" w:hanging="689"/>
      </w:pPr>
      <w:rPr>
        <w:rFonts w:hint="default"/>
      </w:rPr>
    </w:lvl>
    <w:lvl w:ilvl="2" w:tplc="2B0CEB0A">
      <w:numFmt w:val="bullet"/>
      <w:lvlText w:val="•"/>
      <w:lvlJc w:val="left"/>
      <w:pPr>
        <w:ind w:left="3980" w:hanging="689"/>
      </w:pPr>
      <w:rPr>
        <w:rFonts w:hint="default"/>
      </w:rPr>
    </w:lvl>
    <w:lvl w:ilvl="3" w:tplc="64F0A864">
      <w:numFmt w:val="bullet"/>
      <w:lvlText w:val="•"/>
      <w:lvlJc w:val="left"/>
      <w:pPr>
        <w:ind w:left="4761" w:hanging="689"/>
      </w:pPr>
      <w:rPr>
        <w:rFonts w:hint="default"/>
      </w:rPr>
    </w:lvl>
    <w:lvl w:ilvl="4" w:tplc="80AA8A18">
      <w:numFmt w:val="bullet"/>
      <w:lvlText w:val="•"/>
      <w:lvlJc w:val="left"/>
      <w:pPr>
        <w:ind w:left="5541" w:hanging="689"/>
      </w:pPr>
      <w:rPr>
        <w:rFonts w:hint="default"/>
      </w:rPr>
    </w:lvl>
    <w:lvl w:ilvl="5" w:tplc="517C6D44">
      <w:numFmt w:val="bullet"/>
      <w:lvlText w:val="•"/>
      <w:lvlJc w:val="left"/>
      <w:pPr>
        <w:ind w:left="6322" w:hanging="689"/>
      </w:pPr>
      <w:rPr>
        <w:rFonts w:hint="default"/>
      </w:rPr>
    </w:lvl>
    <w:lvl w:ilvl="6" w:tplc="3D66C988">
      <w:numFmt w:val="bullet"/>
      <w:lvlText w:val="•"/>
      <w:lvlJc w:val="left"/>
      <w:pPr>
        <w:ind w:left="7102" w:hanging="689"/>
      </w:pPr>
      <w:rPr>
        <w:rFonts w:hint="default"/>
      </w:rPr>
    </w:lvl>
    <w:lvl w:ilvl="7" w:tplc="E87202F4">
      <w:numFmt w:val="bullet"/>
      <w:lvlText w:val="•"/>
      <w:lvlJc w:val="left"/>
      <w:pPr>
        <w:ind w:left="7883" w:hanging="689"/>
      </w:pPr>
      <w:rPr>
        <w:rFonts w:hint="default"/>
      </w:rPr>
    </w:lvl>
    <w:lvl w:ilvl="8" w:tplc="8514B9A4">
      <w:numFmt w:val="bullet"/>
      <w:lvlText w:val="•"/>
      <w:lvlJc w:val="left"/>
      <w:pPr>
        <w:ind w:left="8663" w:hanging="689"/>
      </w:pPr>
      <w:rPr>
        <w:rFonts w:hint="default"/>
      </w:rPr>
    </w:lvl>
  </w:abstractNum>
  <w:abstractNum w:abstractNumId="17" w15:restartNumberingAfterBreak="0">
    <w:nsid w:val="4DFD320B"/>
    <w:multiLevelType w:val="hybridMultilevel"/>
    <w:tmpl w:val="06568F5C"/>
    <w:lvl w:ilvl="0" w:tplc="36A0E988">
      <w:start w:val="1"/>
      <w:numFmt w:val="decimal"/>
      <w:lvlText w:val="%1."/>
      <w:lvlJc w:val="left"/>
      <w:pPr>
        <w:ind w:left="72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FD90AC1"/>
    <w:multiLevelType w:val="hybridMultilevel"/>
    <w:tmpl w:val="6336760C"/>
    <w:lvl w:ilvl="0" w:tplc="0809000F">
      <w:start w:val="1"/>
      <w:numFmt w:val="decimal"/>
      <w:lvlText w:val="%1."/>
      <w:lvlJc w:val="left"/>
      <w:pPr>
        <w:ind w:left="915" w:hanging="5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504366"/>
    <w:multiLevelType w:val="hybridMultilevel"/>
    <w:tmpl w:val="9F783B00"/>
    <w:lvl w:ilvl="0" w:tplc="3904B8B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4033FC8"/>
    <w:multiLevelType w:val="hybridMultilevel"/>
    <w:tmpl w:val="E71A59FC"/>
    <w:lvl w:ilvl="0" w:tplc="08090001">
      <w:start w:val="1"/>
      <w:numFmt w:val="bullet"/>
      <w:lvlText w:val=""/>
      <w:lvlJc w:val="left"/>
      <w:pPr>
        <w:ind w:left="1438" w:hanging="360"/>
      </w:pPr>
      <w:rPr>
        <w:rFonts w:ascii="Symbol" w:hAnsi="Symbol" w:hint="default"/>
      </w:rPr>
    </w:lvl>
    <w:lvl w:ilvl="1" w:tplc="08090003" w:tentative="1">
      <w:start w:val="1"/>
      <w:numFmt w:val="bullet"/>
      <w:lvlText w:val="o"/>
      <w:lvlJc w:val="left"/>
      <w:pPr>
        <w:ind w:left="2158" w:hanging="360"/>
      </w:pPr>
      <w:rPr>
        <w:rFonts w:ascii="Courier New" w:hAnsi="Courier New" w:cs="Courier New" w:hint="default"/>
      </w:rPr>
    </w:lvl>
    <w:lvl w:ilvl="2" w:tplc="08090005" w:tentative="1">
      <w:start w:val="1"/>
      <w:numFmt w:val="bullet"/>
      <w:lvlText w:val=""/>
      <w:lvlJc w:val="left"/>
      <w:pPr>
        <w:ind w:left="2878" w:hanging="360"/>
      </w:pPr>
      <w:rPr>
        <w:rFonts w:ascii="Wingdings" w:hAnsi="Wingdings" w:hint="default"/>
      </w:rPr>
    </w:lvl>
    <w:lvl w:ilvl="3" w:tplc="08090001" w:tentative="1">
      <w:start w:val="1"/>
      <w:numFmt w:val="bullet"/>
      <w:lvlText w:val=""/>
      <w:lvlJc w:val="left"/>
      <w:pPr>
        <w:ind w:left="3598" w:hanging="360"/>
      </w:pPr>
      <w:rPr>
        <w:rFonts w:ascii="Symbol" w:hAnsi="Symbol" w:hint="default"/>
      </w:rPr>
    </w:lvl>
    <w:lvl w:ilvl="4" w:tplc="08090003" w:tentative="1">
      <w:start w:val="1"/>
      <w:numFmt w:val="bullet"/>
      <w:lvlText w:val="o"/>
      <w:lvlJc w:val="left"/>
      <w:pPr>
        <w:ind w:left="4318" w:hanging="360"/>
      </w:pPr>
      <w:rPr>
        <w:rFonts w:ascii="Courier New" w:hAnsi="Courier New" w:cs="Courier New" w:hint="default"/>
      </w:rPr>
    </w:lvl>
    <w:lvl w:ilvl="5" w:tplc="08090005" w:tentative="1">
      <w:start w:val="1"/>
      <w:numFmt w:val="bullet"/>
      <w:lvlText w:val=""/>
      <w:lvlJc w:val="left"/>
      <w:pPr>
        <w:ind w:left="5038" w:hanging="360"/>
      </w:pPr>
      <w:rPr>
        <w:rFonts w:ascii="Wingdings" w:hAnsi="Wingdings" w:hint="default"/>
      </w:rPr>
    </w:lvl>
    <w:lvl w:ilvl="6" w:tplc="08090001" w:tentative="1">
      <w:start w:val="1"/>
      <w:numFmt w:val="bullet"/>
      <w:lvlText w:val=""/>
      <w:lvlJc w:val="left"/>
      <w:pPr>
        <w:ind w:left="5758" w:hanging="360"/>
      </w:pPr>
      <w:rPr>
        <w:rFonts w:ascii="Symbol" w:hAnsi="Symbol" w:hint="default"/>
      </w:rPr>
    </w:lvl>
    <w:lvl w:ilvl="7" w:tplc="08090003" w:tentative="1">
      <w:start w:val="1"/>
      <w:numFmt w:val="bullet"/>
      <w:lvlText w:val="o"/>
      <w:lvlJc w:val="left"/>
      <w:pPr>
        <w:ind w:left="6478" w:hanging="360"/>
      </w:pPr>
      <w:rPr>
        <w:rFonts w:ascii="Courier New" w:hAnsi="Courier New" w:cs="Courier New" w:hint="default"/>
      </w:rPr>
    </w:lvl>
    <w:lvl w:ilvl="8" w:tplc="08090005" w:tentative="1">
      <w:start w:val="1"/>
      <w:numFmt w:val="bullet"/>
      <w:lvlText w:val=""/>
      <w:lvlJc w:val="left"/>
      <w:pPr>
        <w:ind w:left="7198" w:hanging="360"/>
      </w:pPr>
      <w:rPr>
        <w:rFonts w:ascii="Wingdings" w:hAnsi="Wingdings" w:hint="default"/>
      </w:rPr>
    </w:lvl>
  </w:abstractNum>
  <w:abstractNum w:abstractNumId="21" w15:restartNumberingAfterBreak="0">
    <w:nsid w:val="5CA72CBD"/>
    <w:multiLevelType w:val="hybridMultilevel"/>
    <w:tmpl w:val="F5767492"/>
    <w:lvl w:ilvl="0" w:tplc="8460DCF0">
      <w:numFmt w:val="bullet"/>
      <w:lvlText w:val=""/>
      <w:lvlJc w:val="left"/>
      <w:pPr>
        <w:ind w:left="402" w:hanging="427"/>
      </w:pPr>
      <w:rPr>
        <w:rFonts w:ascii="Symbol" w:eastAsia="Symbol" w:hAnsi="Symbol" w:cs="Symbol" w:hint="default"/>
        <w:w w:val="99"/>
        <w:sz w:val="22"/>
        <w:szCs w:val="22"/>
      </w:rPr>
    </w:lvl>
    <w:lvl w:ilvl="1" w:tplc="8460DCF0">
      <w:numFmt w:val="bullet"/>
      <w:lvlText w:val=""/>
      <w:lvlJc w:val="left"/>
      <w:pPr>
        <w:ind w:left="1710" w:hanging="426"/>
      </w:pPr>
      <w:rPr>
        <w:rFonts w:ascii="Symbol" w:eastAsia="Symbol" w:hAnsi="Symbol" w:cs="Symbol" w:hint="default"/>
        <w:w w:val="99"/>
        <w:sz w:val="22"/>
        <w:szCs w:val="22"/>
      </w:rPr>
    </w:lvl>
    <w:lvl w:ilvl="2" w:tplc="C2DE522A">
      <w:numFmt w:val="bullet"/>
      <w:lvlText w:val="•"/>
      <w:lvlJc w:val="left"/>
      <w:pPr>
        <w:ind w:left="2519" w:hanging="426"/>
      </w:pPr>
      <w:rPr>
        <w:rFonts w:hint="default"/>
      </w:rPr>
    </w:lvl>
    <w:lvl w:ilvl="3" w:tplc="72C09F70">
      <w:numFmt w:val="bullet"/>
      <w:lvlText w:val="•"/>
      <w:lvlJc w:val="left"/>
      <w:pPr>
        <w:ind w:left="3319" w:hanging="426"/>
      </w:pPr>
      <w:rPr>
        <w:rFonts w:hint="default"/>
      </w:rPr>
    </w:lvl>
    <w:lvl w:ilvl="4" w:tplc="1FB00DE6">
      <w:numFmt w:val="bullet"/>
      <w:lvlText w:val="•"/>
      <w:lvlJc w:val="left"/>
      <w:pPr>
        <w:ind w:left="4118" w:hanging="426"/>
      </w:pPr>
      <w:rPr>
        <w:rFonts w:hint="default"/>
      </w:rPr>
    </w:lvl>
    <w:lvl w:ilvl="5" w:tplc="A4DE788A">
      <w:numFmt w:val="bullet"/>
      <w:lvlText w:val="•"/>
      <w:lvlJc w:val="left"/>
      <w:pPr>
        <w:ind w:left="4918" w:hanging="426"/>
      </w:pPr>
      <w:rPr>
        <w:rFonts w:hint="default"/>
      </w:rPr>
    </w:lvl>
    <w:lvl w:ilvl="6" w:tplc="C982103C">
      <w:numFmt w:val="bullet"/>
      <w:lvlText w:val="•"/>
      <w:lvlJc w:val="left"/>
      <w:pPr>
        <w:ind w:left="5717" w:hanging="426"/>
      </w:pPr>
      <w:rPr>
        <w:rFonts w:hint="default"/>
      </w:rPr>
    </w:lvl>
    <w:lvl w:ilvl="7" w:tplc="22406E62">
      <w:numFmt w:val="bullet"/>
      <w:lvlText w:val="•"/>
      <w:lvlJc w:val="left"/>
      <w:pPr>
        <w:ind w:left="6517" w:hanging="426"/>
      </w:pPr>
      <w:rPr>
        <w:rFonts w:hint="default"/>
      </w:rPr>
    </w:lvl>
    <w:lvl w:ilvl="8" w:tplc="209A2874">
      <w:numFmt w:val="bullet"/>
      <w:lvlText w:val="•"/>
      <w:lvlJc w:val="left"/>
      <w:pPr>
        <w:ind w:left="7317" w:hanging="426"/>
      </w:pPr>
      <w:rPr>
        <w:rFonts w:hint="default"/>
      </w:rPr>
    </w:lvl>
  </w:abstractNum>
  <w:abstractNum w:abstractNumId="22" w15:restartNumberingAfterBreak="0">
    <w:nsid w:val="66BA450C"/>
    <w:multiLevelType w:val="hybridMultilevel"/>
    <w:tmpl w:val="AFCC9E72"/>
    <w:lvl w:ilvl="0" w:tplc="08090001">
      <w:start w:val="1"/>
      <w:numFmt w:val="bullet"/>
      <w:lvlText w:val=""/>
      <w:lvlJc w:val="left"/>
      <w:pPr>
        <w:ind w:left="1438" w:hanging="360"/>
      </w:pPr>
      <w:rPr>
        <w:rFonts w:ascii="Symbol" w:hAnsi="Symbol" w:hint="default"/>
      </w:rPr>
    </w:lvl>
    <w:lvl w:ilvl="1" w:tplc="08090003" w:tentative="1">
      <w:start w:val="1"/>
      <w:numFmt w:val="bullet"/>
      <w:lvlText w:val="o"/>
      <w:lvlJc w:val="left"/>
      <w:pPr>
        <w:ind w:left="2158" w:hanging="360"/>
      </w:pPr>
      <w:rPr>
        <w:rFonts w:ascii="Courier New" w:hAnsi="Courier New" w:cs="Courier New" w:hint="default"/>
      </w:rPr>
    </w:lvl>
    <w:lvl w:ilvl="2" w:tplc="08090005" w:tentative="1">
      <w:start w:val="1"/>
      <w:numFmt w:val="bullet"/>
      <w:lvlText w:val=""/>
      <w:lvlJc w:val="left"/>
      <w:pPr>
        <w:ind w:left="2878" w:hanging="360"/>
      </w:pPr>
      <w:rPr>
        <w:rFonts w:ascii="Wingdings" w:hAnsi="Wingdings" w:hint="default"/>
      </w:rPr>
    </w:lvl>
    <w:lvl w:ilvl="3" w:tplc="08090001" w:tentative="1">
      <w:start w:val="1"/>
      <w:numFmt w:val="bullet"/>
      <w:lvlText w:val=""/>
      <w:lvlJc w:val="left"/>
      <w:pPr>
        <w:ind w:left="3598" w:hanging="360"/>
      </w:pPr>
      <w:rPr>
        <w:rFonts w:ascii="Symbol" w:hAnsi="Symbol" w:hint="default"/>
      </w:rPr>
    </w:lvl>
    <w:lvl w:ilvl="4" w:tplc="08090003" w:tentative="1">
      <w:start w:val="1"/>
      <w:numFmt w:val="bullet"/>
      <w:lvlText w:val="o"/>
      <w:lvlJc w:val="left"/>
      <w:pPr>
        <w:ind w:left="4318" w:hanging="360"/>
      </w:pPr>
      <w:rPr>
        <w:rFonts w:ascii="Courier New" w:hAnsi="Courier New" w:cs="Courier New" w:hint="default"/>
      </w:rPr>
    </w:lvl>
    <w:lvl w:ilvl="5" w:tplc="08090005" w:tentative="1">
      <w:start w:val="1"/>
      <w:numFmt w:val="bullet"/>
      <w:lvlText w:val=""/>
      <w:lvlJc w:val="left"/>
      <w:pPr>
        <w:ind w:left="5038" w:hanging="360"/>
      </w:pPr>
      <w:rPr>
        <w:rFonts w:ascii="Wingdings" w:hAnsi="Wingdings" w:hint="default"/>
      </w:rPr>
    </w:lvl>
    <w:lvl w:ilvl="6" w:tplc="08090001" w:tentative="1">
      <w:start w:val="1"/>
      <w:numFmt w:val="bullet"/>
      <w:lvlText w:val=""/>
      <w:lvlJc w:val="left"/>
      <w:pPr>
        <w:ind w:left="5758" w:hanging="360"/>
      </w:pPr>
      <w:rPr>
        <w:rFonts w:ascii="Symbol" w:hAnsi="Symbol" w:hint="default"/>
      </w:rPr>
    </w:lvl>
    <w:lvl w:ilvl="7" w:tplc="08090003" w:tentative="1">
      <w:start w:val="1"/>
      <w:numFmt w:val="bullet"/>
      <w:lvlText w:val="o"/>
      <w:lvlJc w:val="left"/>
      <w:pPr>
        <w:ind w:left="6478" w:hanging="360"/>
      </w:pPr>
      <w:rPr>
        <w:rFonts w:ascii="Courier New" w:hAnsi="Courier New" w:cs="Courier New" w:hint="default"/>
      </w:rPr>
    </w:lvl>
    <w:lvl w:ilvl="8" w:tplc="08090005" w:tentative="1">
      <w:start w:val="1"/>
      <w:numFmt w:val="bullet"/>
      <w:lvlText w:val=""/>
      <w:lvlJc w:val="left"/>
      <w:pPr>
        <w:ind w:left="7198" w:hanging="360"/>
      </w:pPr>
      <w:rPr>
        <w:rFonts w:ascii="Wingdings" w:hAnsi="Wingdings" w:hint="default"/>
      </w:rPr>
    </w:lvl>
  </w:abstractNum>
  <w:abstractNum w:abstractNumId="23" w15:restartNumberingAfterBreak="0">
    <w:nsid w:val="6D0E000C"/>
    <w:multiLevelType w:val="hybridMultilevel"/>
    <w:tmpl w:val="14988FAA"/>
    <w:lvl w:ilvl="0" w:tplc="08090001">
      <w:start w:val="1"/>
      <w:numFmt w:val="bullet"/>
      <w:lvlText w:val=""/>
      <w:lvlJc w:val="left"/>
      <w:pPr>
        <w:ind w:left="1438" w:hanging="360"/>
      </w:pPr>
      <w:rPr>
        <w:rFonts w:ascii="Symbol" w:hAnsi="Symbol" w:hint="default"/>
      </w:rPr>
    </w:lvl>
    <w:lvl w:ilvl="1" w:tplc="08090003">
      <w:start w:val="1"/>
      <w:numFmt w:val="bullet"/>
      <w:lvlText w:val="o"/>
      <w:lvlJc w:val="left"/>
      <w:pPr>
        <w:ind w:left="2158" w:hanging="360"/>
      </w:pPr>
      <w:rPr>
        <w:rFonts w:ascii="Courier New" w:hAnsi="Courier New" w:cs="Courier New" w:hint="default"/>
      </w:rPr>
    </w:lvl>
    <w:lvl w:ilvl="2" w:tplc="08090005" w:tentative="1">
      <w:start w:val="1"/>
      <w:numFmt w:val="bullet"/>
      <w:lvlText w:val=""/>
      <w:lvlJc w:val="left"/>
      <w:pPr>
        <w:ind w:left="2878" w:hanging="360"/>
      </w:pPr>
      <w:rPr>
        <w:rFonts w:ascii="Wingdings" w:hAnsi="Wingdings" w:hint="default"/>
      </w:rPr>
    </w:lvl>
    <w:lvl w:ilvl="3" w:tplc="08090001" w:tentative="1">
      <w:start w:val="1"/>
      <w:numFmt w:val="bullet"/>
      <w:lvlText w:val=""/>
      <w:lvlJc w:val="left"/>
      <w:pPr>
        <w:ind w:left="3598" w:hanging="360"/>
      </w:pPr>
      <w:rPr>
        <w:rFonts w:ascii="Symbol" w:hAnsi="Symbol" w:hint="default"/>
      </w:rPr>
    </w:lvl>
    <w:lvl w:ilvl="4" w:tplc="08090003" w:tentative="1">
      <w:start w:val="1"/>
      <w:numFmt w:val="bullet"/>
      <w:lvlText w:val="o"/>
      <w:lvlJc w:val="left"/>
      <w:pPr>
        <w:ind w:left="4318" w:hanging="360"/>
      </w:pPr>
      <w:rPr>
        <w:rFonts w:ascii="Courier New" w:hAnsi="Courier New" w:cs="Courier New" w:hint="default"/>
      </w:rPr>
    </w:lvl>
    <w:lvl w:ilvl="5" w:tplc="08090005" w:tentative="1">
      <w:start w:val="1"/>
      <w:numFmt w:val="bullet"/>
      <w:lvlText w:val=""/>
      <w:lvlJc w:val="left"/>
      <w:pPr>
        <w:ind w:left="5038" w:hanging="360"/>
      </w:pPr>
      <w:rPr>
        <w:rFonts w:ascii="Wingdings" w:hAnsi="Wingdings" w:hint="default"/>
      </w:rPr>
    </w:lvl>
    <w:lvl w:ilvl="6" w:tplc="08090001" w:tentative="1">
      <w:start w:val="1"/>
      <w:numFmt w:val="bullet"/>
      <w:lvlText w:val=""/>
      <w:lvlJc w:val="left"/>
      <w:pPr>
        <w:ind w:left="5758" w:hanging="360"/>
      </w:pPr>
      <w:rPr>
        <w:rFonts w:ascii="Symbol" w:hAnsi="Symbol" w:hint="default"/>
      </w:rPr>
    </w:lvl>
    <w:lvl w:ilvl="7" w:tplc="08090003" w:tentative="1">
      <w:start w:val="1"/>
      <w:numFmt w:val="bullet"/>
      <w:lvlText w:val="o"/>
      <w:lvlJc w:val="left"/>
      <w:pPr>
        <w:ind w:left="6478" w:hanging="360"/>
      </w:pPr>
      <w:rPr>
        <w:rFonts w:ascii="Courier New" w:hAnsi="Courier New" w:cs="Courier New" w:hint="default"/>
      </w:rPr>
    </w:lvl>
    <w:lvl w:ilvl="8" w:tplc="08090005" w:tentative="1">
      <w:start w:val="1"/>
      <w:numFmt w:val="bullet"/>
      <w:lvlText w:val=""/>
      <w:lvlJc w:val="left"/>
      <w:pPr>
        <w:ind w:left="7198" w:hanging="360"/>
      </w:pPr>
      <w:rPr>
        <w:rFonts w:ascii="Wingdings" w:hAnsi="Wingdings" w:hint="default"/>
      </w:rPr>
    </w:lvl>
  </w:abstractNum>
  <w:abstractNum w:abstractNumId="24" w15:restartNumberingAfterBreak="0">
    <w:nsid w:val="715470AF"/>
    <w:multiLevelType w:val="hybridMultilevel"/>
    <w:tmpl w:val="521A0F46"/>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41C2C1E"/>
    <w:multiLevelType w:val="hybridMultilevel"/>
    <w:tmpl w:val="6F9627F4"/>
    <w:lvl w:ilvl="0" w:tplc="0809001B">
      <w:start w:val="1"/>
      <w:numFmt w:val="lowerRoman"/>
      <w:lvlText w:val="%1."/>
      <w:lvlJc w:val="right"/>
      <w:pPr>
        <w:ind w:left="1789" w:hanging="360"/>
      </w:pPr>
    </w:lvl>
    <w:lvl w:ilvl="1" w:tplc="08090019" w:tentative="1">
      <w:start w:val="1"/>
      <w:numFmt w:val="lowerLetter"/>
      <w:lvlText w:val="%2."/>
      <w:lvlJc w:val="left"/>
      <w:pPr>
        <w:ind w:left="2509" w:hanging="360"/>
      </w:pPr>
    </w:lvl>
    <w:lvl w:ilvl="2" w:tplc="0809001B" w:tentative="1">
      <w:start w:val="1"/>
      <w:numFmt w:val="lowerRoman"/>
      <w:lvlText w:val="%3."/>
      <w:lvlJc w:val="right"/>
      <w:pPr>
        <w:ind w:left="3229" w:hanging="180"/>
      </w:pPr>
    </w:lvl>
    <w:lvl w:ilvl="3" w:tplc="0809000F" w:tentative="1">
      <w:start w:val="1"/>
      <w:numFmt w:val="decimal"/>
      <w:lvlText w:val="%4."/>
      <w:lvlJc w:val="left"/>
      <w:pPr>
        <w:ind w:left="3949" w:hanging="360"/>
      </w:pPr>
    </w:lvl>
    <w:lvl w:ilvl="4" w:tplc="08090019" w:tentative="1">
      <w:start w:val="1"/>
      <w:numFmt w:val="lowerLetter"/>
      <w:lvlText w:val="%5."/>
      <w:lvlJc w:val="left"/>
      <w:pPr>
        <w:ind w:left="4669" w:hanging="360"/>
      </w:pPr>
    </w:lvl>
    <w:lvl w:ilvl="5" w:tplc="0809001B" w:tentative="1">
      <w:start w:val="1"/>
      <w:numFmt w:val="lowerRoman"/>
      <w:lvlText w:val="%6."/>
      <w:lvlJc w:val="right"/>
      <w:pPr>
        <w:ind w:left="5389" w:hanging="180"/>
      </w:pPr>
    </w:lvl>
    <w:lvl w:ilvl="6" w:tplc="0809000F" w:tentative="1">
      <w:start w:val="1"/>
      <w:numFmt w:val="decimal"/>
      <w:lvlText w:val="%7."/>
      <w:lvlJc w:val="left"/>
      <w:pPr>
        <w:ind w:left="6109" w:hanging="360"/>
      </w:pPr>
    </w:lvl>
    <w:lvl w:ilvl="7" w:tplc="08090019" w:tentative="1">
      <w:start w:val="1"/>
      <w:numFmt w:val="lowerLetter"/>
      <w:lvlText w:val="%8."/>
      <w:lvlJc w:val="left"/>
      <w:pPr>
        <w:ind w:left="6829" w:hanging="360"/>
      </w:pPr>
    </w:lvl>
    <w:lvl w:ilvl="8" w:tplc="0809001B" w:tentative="1">
      <w:start w:val="1"/>
      <w:numFmt w:val="lowerRoman"/>
      <w:lvlText w:val="%9."/>
      <w:lvlJc w:val="right"/>
      <w:pPr>
        <w:ind w:left="7549" w:hanging="180"/>
      </w:pPr>
    </w:lvl>
  </w:abstractNum>
  <w:abstractNum w:abstractNumId="26" w15:restartNumberingAfterBreak="0">
    <w:nsid w:val="7452514F"/>
    <w:multiLevelType w:val="hybridMultilevel"/>
    <w:tmpl w:val="BE72BB14"/>
    <w:lvl w:ilvl="0" w:tplc="0374D72E">
      <w:start w:val="2"/>
      <w:numFmt w:val="decimal"/>
      <w:lvlText w:val="%1"/>
      <w:lvlJc w:val="left"/>
      <w:pPr>
        <w:ind w:left="1078" w:hanging="360"/>
      </w:pPr>
      <w:rPr>
        <w:rFonts w:hint="default"/>
      </w:rPr>
    </w:lvl>
    <w:lvl w:ilvl="1" w:tplc="08090019" w:tentative="1">
      <w:start w:val="1"/>
      <w:numFmt w:val="lowerLetter"/>
      <w:lvlText w:val="%2."/>
      <w:lvlJc w:val="left"/>
      <w:pPr>
        <w:ind w:left="1798" w:hanging="360"/>
      </w:pPr>
    </w:lvl>
    <w:lvl w:ilvl="2" w:tplc="0809001B" w:tentative="1">
      <w:start w:val="1"/>
      <w:numFmt w:val="lowerRoman"/>
      <w:lvlText w:val="%3."/>
      <w:lvlJc w:val="right"/>
      <w:pPr>
        <w:ind w:left="2518" w:hanging="180"/>
      </w:pPr>
    </w:lvl>
    <w:lvl w:ilvl="3" w:tplc="0809000F" w:tentative="1">
      <w:start w:val="1"/>
      <w:numFmt w:val="decimal"/>
      <w:lvlText w:val="%4."/>
      <w:lvlJc w:val="left"/>
      <w:pPr>
        <w:ind w:left="3238" w:hanging="360"/>
      </w:pPr>
    </w:lvl>
    <w:lvl w:ilvl="4" w:tplc="08090019" w:tentative="1">
      <w:start w:val="1"/>
      <w:numFmt w:val="lowerLetter"/>
      <w:lvlText w:val="%5."/>
      <w:lvlJc w:val="left"/>
      <w:pPr>
        <w:ind w:left="3958" w:hanging="360"/>
      </w:pPr>
    </w:lvl>
    <w:lvl w:ilvl="5" w:tplc="0809001B" w:tentative="1">
      <w:start w:val="1"/>
      <w:numFmt w:val="lowerRoman"/>
      <w:lvlText w:val="%6."/>
      <w:lvlJc w:val="right"/>
      <w:pPr>
        <w:ind w:left="4678" w:hanging="180"/>
      </w:pPr>
    </w:lvl>
    <w:lvl w:ilvl="6" w:tplc="0809000F" w:tentative="1">
      <w:start w:val="1"/>
      <w:numFmt w:val="decimal"/>
      <w:lvlText w:val="%7."/>
      <w:lvlJc w:val="left"/>
      <w:pPr>
        <w:ind w:left="5398" w:hanging="360"/>
      </w:pPr>
    </w:lvl>
    <w:lvl w:ilvl="7" w:tplc="08090019" w:tentative="1">
      <w:start w:val="1"/>
      <w:numFmt w:val="lowerLetter"/>
      <w:lvlText w:val="%8."/>
      <w:lvlJc w:val="left"/>
      <w:pPr>
        <w:ind w:left="6118" w:hanging="360"/>
      </w:pPr>
    </w:lvl>
    <w:lvl w:ilvl="8" w:tplc="0809001B" w:tentative="1">
      <w:start w:val="1"/>
      <w:numFmt w:val="lowerRoman"/>
      <w:lvlText w:val="%9."/>
      <w:lvlJc w:val="right"/>
      <w:pPr>
        <w:ind w:left="6838" w:hanging="180"/>
      </w:pPr>
    </w:lvl>
  </w:abstractNum>
  <w:abstractNum w:abstractNumId="27" w15:restartNumberingAfterBreak="0">
    <w:nsid w:val="75C5557E"/>
    <w:multiLevelType w:val="hybridMultilevel"/>
    <w:tmpl w:val="20748DDE"/>
    <w:lvl w:ilvl="0" w:tplc="3690C488">
      <w:start w:val="2"/>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8" w15:restartNumberingAfterBreak="0">
    <w:nsid w:val="781E7A24"/>
    <w:multiLevelType w:val="hybridMultilevel"/>
    <w:tmpl w:val="A626AB9C"/>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num w:numId="1" w16cid:durableId="283586396">
    <w:abstractNumId w:val="21"/>
  </w:num>
  <w:num w:numId="2" w16cid:durableId="1445033042">
    <w:abstractNumId w:val="9"/>
  </w:num>
  <w:num w:numId="3" w16cid:durableId="755637430">
    <w:abstractNumId w:val="16"/>
  </w:num>
  <w:num w:numId="4" w16cid:durableId="1346127814">
    <w:abstractNumId w:val="6"/>
  </w:num>
  <w:num w:numId="5" w16cid:durableId="765885545">
    <w:abstractNumId w:val="13"/>
  </w:num>
  <w:num w:numId="6" w16cid:durableId="871919387">
    <w:abstractNumId w:val="11"/>
  </w:num>
  <w:num w:numId="7" w16cid:durableId="1603877353">
    <w:abstractNumId w:val="22"/>
  </w:num>
  <w:num w:numId="8" w16cid:durableId="1908608925">
    <w:abstractNumId w:val="23"/>
  </w:num>
  <w:num w:numId="9" w16cid:durableId="378091332">
    <w:abstractNumId w:val="15"/>
  </w:num>
  <w:num w:numId="10" w16cid:durableId="1436710697">
    <w:abstractNumId w:val="10"/>
  </w:num>
  <w:num w:numId="11" w16cid:durableId="1181510221">
    <w:abstractNumId w:val="20"/>
  </w:num>
  <w:num w:numId="12" w16cid:durableId="912813225">
    <w:abstractNumId w:val="7"/>
  </w:num>
  <w:num w:numId="13" w16cid:durableId="1778603143">
    <w:abstractNumId w:val="8"/>
  </w:num>
  <w:num w:numId="14" w16cid:durableId="1513639176">
    <w:abstractNumId w:val="27"/>
  </w:num>
  <w:num w:numId="15" w16cid:durableId="1148866306">
    <w:abstractNumId w:val="26"/>
  </w:num>
  <w:num w:numId="16" w16cid:durableId="2104185925">
    <w:abstractNumId w:val="19"/>
  </w:num>
  <w:num w:numId="17" w16cid:durableId="226771191">
    <w:abstractNumId w:val="2"/>
  </w:num>
  <w:num w:numId="18" w16cid:durableId="1336304101">
    <w:abstractNumId w:val="24"/>
  </w:num>
  <w:num w:numId="19" w16cid:durableId="215631474">
    <w:abstractNumId w:val="18"/>
  </w:num>
  <w:num w:numId="20" w16cid:durableId="1318073876">
    <w:abstractNumId w:val="4"/>
  </w:num>
  <w:num w:numId="21" w16cid:durableId="975185023">
    <w:abstractNumId w:val="25"/>
  </w:num>
  <w:num w:numId="22" w16cid:durableId="1410497747">
    <w:abstractNumId w:val="28"/>
  </w:num>
  <w:num w:numId="23" w16cid:durableId="159125244">
    <w:abstractNumId w:val="5"/>
  </w:num>
  <w:num w:numId="24" w16cid:durableId="636374272">
    <w:abstractNumId w:val="0"/>
  </w:num>
  <w:num w:numId="25" w16cid:durableId="1462767938">
    <w:abstractNumId w:val="17"/>
  </w:num>
  <w:num w:numId="26" w16cid:durableId="993337615">
    <w:abstractNumId w:val="3"/>
  </w:num>
  <w:num w:numId="27" w16cid:durableId="1110933354">
    <w:abstractNumId w:val="14"/>
  </w:num>
  <w:num w:numId="28" w16cid:durableId="909080616">
    <w:abstractNumId w:val="1"/>
  </w:num>
  <w:num w:numId="29" w16cid:durableId="167098029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1A1"/>
    <w:rsid w:val="00005C90"/>
    <w:rsid w:val="0001283F"/>
    <w:rsid w:val="000236F7"/>
    <w:rsid w:val="00027329"/>
    <w:rsid w:val="000609D1"/>
    <w:rsid w:val="00072909"/>
    <w:rsid w:val="000831B9"/>
    <w:rsid w:val="000967AB"/>
    <w:rsid w:val="00097451"/>
    <w:rsid w:val="000C3D80"/>
    <w:rsid w:val="000E7049"/>
    <w:rsid w:val="000E7218"/>
    <w:rsid w:val="000F353C"/>
    <w:rsid w:val="000F6B5F"/>
    <w:rsid w:val="001115D7"/>
    <w:rsid w:val="001160FC"/>
    <w:rsid w:val="001554BD"/>
    <w:rsid w:val="001679C3"/>
    <w:rsid w:val="001B13F5"/>
    <w:rsid w:val="001E7D7E"/>
    <w:rsid w:val="002023B0"/>
    <w:rsid w:val="00210ED1"/>
    <w:rsid w:val="0022488A"/>
    <w:rsid w:val="002860E8"/>
    <w:rsid w:val="002A088F"/>
    <w:rsid w:val="002B6F95"/>
    <w:rsid w:val="002E08AA"/>
    <w:rsid w:val="002E5FBF"/>
    <w:rsid w:val="002F6007"/>
    <w:rsid w:val="002F66C7"/>
    <w:rsid w:val="00331A91"/>
    <w:rsid w:val="003441A1"/>
    <w:rsid w:val="00353E9E"/>
    <w:rsid w:val="00363A2E"/>
    <w:rsid w:val="003B55A6"/>
    <w:rsid w:val="003F0409"/>
    <w:rsid w:val="003F1856"/>
    <w:rsid w:val="003F620E"/>
    <w:rsid w:val="004026BC"/>
    <w:rsid w:val="00421F89"/>
    <w:rsid w:val="00434A54"/>
    <w:rsid w:val="00496DCA"/>
    <w:rsid w:val="004C2432"/>
    <w:rsid w:val="004D68EC"/>
    <w:rsid w:val="004F5E42"/>
    <w:rsid w:val="0050339C"/>
    <w:rsid w:val="005349C3"/>
    <w:rsid w:val="00552320"/>
    <w:rsid w:val="0056418C"/>
    <w:rsid w:val="005751A5"/>
    <w:rsid w:val="00576EBD"/>
    <w:rsid w:val="005B2617"/>
    <w:rsid w:val="005B3882"/>
    <w:rsid w:val="005B3BFE"/>
    <w:rsid w:val="005B4E3D"/>
    <w:rsid w:val="005E2B4F"/>
    <w:rsid w:val="005E4144"/>
    <w:rsid w:val="00605D4A"/>
    <w:rsid w:val="0061012B"/>
    <w:rsid w:val="0065515B"/>
    <w:rsid w:val="006604AD"/>
    <w:rsid w:val="006A113E"/>
    <w:rsid w:val="006B5121"/>
    <w:rsid w:val="006B54C7"/>
    <w:rsid w:val="006D5F24"/>
    <w:rsid w:val="00714134"/>
    <w:rsid w:val="00721236"/>
    <w:rsid w:val="007349E2"/>
    <w:rsid w:val="00744406"/>
    <w:rsid w:val="007455BF"/>
    <w:rsid w:val="007502B8"/>
    <w:rsid w:val="00751BD1"/>
    <w:rsid w:val="00761F29"/>
    <w:rsid w:val="00776CF0"/>
    <w:rsid w:val="007A6147"/>
    <w:rsid w:val="007B30A9"/>
    <w:rsid w:val="007B438A"/>
    <w:rsid w:val="007D1392"/>
    <w:rsid w:val="007D524D"/>
    <w:rsid w:val="007D61A1"/>
    <w:rsid w:val="00800DFC"/>
    <w:rsid w:val="008551B9"/>
    <w:rsid w:val="00863845"/>
    <w:rsid w:val="008B6692"/>
    <w:rsid w:val="008D19A3"/>
    <w:rsid w:val="008F2009"/>
    <w:rsid w:val="00923B10"/>
    <w:rsid w:val="00941387"/>
    <w:rsid w:val="009A0C59"/>
    <w:rsid w:val="009B1D7C"/>
    <w:rsid w:val="009D080D"/>
    <w:rsid w:val="00A10A7B"/>
    <w:rsid w:val="00A172D1"/>
    <w:rsid w:val="00A352A1"/>
    <w:rsid w:val="00A7639B"/>
    <w:rsid w:val="00AC7BFA"/>
    <w:rsid w:val="00AF3E5B"/>
    <w:rsid w:val="00AF40F7"/>
    <w:rsid w:val="00AF5731"/>
    <w:rsid w:val="00B12061"/>
    <w:rsid w:val="00B33582"/>
    <w:rsid w:val="00B52CAF"/>
    <w:rsid w:val="00B64EF5"/>
    <w:rsid w:val="00B7055F"/>
    <w:rsid w:val="00B72292"/>
    <w:rsid w:val="00B85999"/>
    <w:rsid w:val="00B91039"/>
    <w:rsid w:val="00B93952"/>
    <w:rsid w:val="00BA4DE7"/>
    <w:rsid w:val="00BB309A"/>
    <w:rsid w:val="00BC75DF"/>
    <w:rsid w:val="00BE18C6"/>
    <w:rsid w:val="00C0196A"/>
    <w:rsid w:val="00C062C6"/>
    <w:rsid w:val="00C16E1B"/>
    <w:rsid w:val="00C2163D"/>
    <w:rsid w:val="00C25E3E"/>
    <w:rsid w:val="00C266DC"/>
    <w:rsid w:val="00C87870"/>
    <w:rsid w:val="00C904E1"/>
    <w:rsid w:val="00C912F6"/>
    <w:rsid w:val="00C9628C"/>
    <w:rsid w:val="00CB0ADF"/>
    <w:rsid w:val="00CB17B9"/>
    <w:rsid w:val="00CB624C"/>
    <w:rsid w:val="00CE0EB9"/>
    <w:rsid w:val="00CE6B64"/>
    <w:rsid w:val="00CE7581"/>
    <w:rsid w:val="00CF247D"/>
    <w:rsid w:val="00D04F4E"/>
    <w:rsid w:val="00D41374"/>
    <w:rsid w:val="00D6693E"/>
    <w:rsid w:val="00D72104"/>
    <w:rsid w:val="00DA5396"/>
    <w:rsid w:val="00DC2A5C"/>
    <w:rsid w:val="00DC59B8"/>
    <w:rsid w:val="00DC68EF"/>
    <w:rsid w:val="00DC76A3"/>
    <w:rsid w:val="00E25D88"/>
    <w:rsid w:val="00E63E53"/>
    <w:rsid w:val="00EA6285"/>
    <w:rsid w:val="00EB397D"/>
    <w:rsid w:val="00EC5AA6"/>
    <w:rsid w:val="00EE472F"/>
    <w:rsid w:val="00EF015E"/>
    <w:rsid w:val="00EF285C"/>
    <w:rsid w:val="00F25EE4"/>
    <w:rsid w:val="00F30238"/>
    <w:rsid w:val="00F43AB2"/>
    <w:rsid w:val="00F508D6"/>
    <w:rsid w:val="00F62A44"/>
    <w:rsid w:val="00F67DF3"/>
    <w:rsid w:val="00FB7E9E"/>
    <w:rsid w:val="00FC0BBE"/>
    <w:rsid w:val="00FE4C3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812F514"/>
  <w15:docId w15:val="{2941A3D3-5CD4-4CC5-B954-358A061B4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ind w:left="718"/>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253"/>
      <w:ind w:left="1143" w:hanging="567"/>
    </w:pPr>
  </w:style>
  <w:style w:type="paragraph" w:styleId="BodyText">
    <w:name w:val="Body Text"/>
    <w:basedOn w:val="Normal"/>
    <w:link w:val="BodyTextChar"/>
    <w:uiPriority w:val="1"/>
    <w:qFormat/>
  </w:style>
  <w:style w:type="paragraph" w:styleId="ListParagraph">
    <w:name w:val="List Paragraph"/>
    <w:basedOn w:val="Normal"/>
    <w:uiPriority w:val="1"/>
    <w:qFormat/>
    <w:pPr>
      <w:ind w:left="1710" w:hanging="426"/>
    </w:pPr>
  </w:style>
  <w:style w:type="paragraph" w:customStyle="1" w:styleId="TableParagraph">
    <w:name w:val="Table Paragraph"/>
    <w:basedOn w:val="Normal"/>
    <w:uiPriority w:val="1"/>
    <w:qFormat/>
  </w:style>
  <w:style w:type="character" w:customStyle="1" w:styleId="BodyTextChar">
    <w:name w:val="Body Text Char"/>
    <w:basedOn w:val="DefaultParagraphFont"/>
    <w:link w:val="BodyText"/>
    <w:uiPriority w:val="1"/>
    <w:rsid w:val="00DC68EF"/>
    <w:rPr>
      <w:rFonts w:ascii="Arial" w:eastAsia="Arial" w:hAnsi="Arial" w:cs="Arial"/>
    </w:rPr>
  </w:style>
  <w:style w:type="paragraph" w:styleId="Header">
    <w:name w:val="header"/>
    <w:basedOn w:val="Normal"/>
    <w:link w:val="HeaderChar"/>
    <w:uiPriority w:val="99"/>
    <w:unhideWhenUsed/>
    <w:rsid w:val="000831B9"/>
    <w:pPr>
      <w:tabs>
        <w:tab w:val="center" w:pos="4513"/>
        <w:tab w:val="right" w:pos="9026"/>
      </w:tabs>
    </w:pPr>
  </w:style>
  <w:style w:type="character" w:customStyle="1" w:styleId="HeaderChar">
    <w:name w:val="Header Char"/>
    <w:basedOn w:val="DefaultParagraphFont"/>
    <w:link w:val="Header"/>
    <w:uiPriority w:val="99"/>
    <w:rsid w:val="000831B9"/>
    <w:rPr>
      <w:rFonts w:ascii="Arial" w:eastAsia="Arial" w:hAnsi="Arial" w:cs="Arial"/>
    </w:rPr>
  </w:style>
  <w:style w:type="paragraph" w:styleId="Footer">
    <w:name w:val="footer"/>
    <w:basedOn w:val="Normal"/>
    <w:link w:val="FooterChar"/>
    <w:uiPriority w:val="99"/>
    <w:unhideWhenUsed/>
    <w:rsid w:val="000831B9"/>
    <w:pPr>
      <w:tabs>
        <w:tab w:val="center" w:pos="4513"/>
        <w:tab w:val="right" w:pos="9026"/>
      </w:tabs>
    </w:pPr>
  </w:style>
  <w:style w:type="character" w:customStyle="1" w:styleId="FooterChar">
    <w:name w:val="Footer Char"/>
    <w:basedOn w:val="DefaultParagraphFont"/>
    <w:link w:val="Footer"/>
    <w:uiPriority w:val="99"/>
    <w:rsid w:val="000831B9"/>
    <w:rPr>
      <w:rFonts w:ascii="Arial" w:eastAsia="Arial" w:hAnsi="Arial" w:cs="Arial"/>
    </w:rPr>
  </w:style>
  <w:style w:type="character" w:styleId="Hyperlink">
    <w:name w:val="Hyperlink"/>
    <w:basedOn w:val="DefaultParagraphFont"/>
    <w:uiPriority w:val="99"/>
    <w:unhideWhenUsed/>
    <w:rsid w:val="006A113E"/>
    <w:rPr>
      <w:color w:val="0000FF" w:themeColor="hyperlink"/>
      <w:u w:val="single"/>
    </w:rPr>
  </w:style>
  <w:style w:type="paragraph" w:styleId="TOC2">
    <w:name w:val="toc 2"/>
    <w:basedOn w:val="Normal"/>
    <w:next w:val="Normal"/>
    <w:autoRedefine/>
    <w:uiPriority w:val="39"/>
    <w:semiHidden/>
    <w:unhideWhenUsed/>
    <w:rsid w:val="00DC2A5C"/>
    <w:pPr>
      <w:spacing w:after="100"/>
      <w:ind w:left="220"/>
    </w:pPr>
  </w:style>
  <w:style w:type="paragraph" w:styleId="BalloonText">
    <w:name w:val="Balloon Text"/>
    <w:basedOn w:val="Normal"/>
    <w:link w:val="BalloonTextChar"/>
    <w:uiPriority w:val="99"/>
    <w:semiHidden/>
    <w:unhideWhenUsed/>
    <w:rsid w:val="00761F2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1F29"/>
    <w:rPr>
      <w:rFonts w:ascii="Segoe UI" w:eastAsia="Arial" w:hAnsi="Segoe UI" w:cs="Segoe UI"/>
      <w:sz w:val="18"/>
      <w:szCs w:val="18"/>
    </w:rPr>
  </w:style>
  <w:style w:type="character" w:styleId="FollowedHyperlink">
    <w:name w:val="FollowedHyperlink"/>
    <w:basedOn w:val="DefaultParagraphFont"/>
    <w:uiPriority w:val="99"/>
    <w:semiHidden/>
    <w:unhideWhenUsed/>
    <w:rsid w:val="00A7639B"/>
    <w:rPr>
      <w:color w:val="800080" w:themeColor="followedHyperlink"/>
      <w:u w:val="single"/>
    </w:rPr>
  </w:style>
  <w:style w:type="table" w:styleId="TableGrid">
    <w:name w:val="Table Grid"/>
    <w:basedOn w:val="TableNormal"/>
    <w:uiPriority w:val="39"/>
    <w:rsid w:val="006101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C0BBE"/>
    <w:rPr>
      <w:sz w:val="16"/>
      <w:szCs w:val="16"/>
    </w:rPr>
  </w:style>
  <w:style w:type="paragraph" w:styleId="CommentText">
    <w:name w:val="annotation text"/>
    <w:basedOn w:val="Normal"/>
    <w:link w:val="CommentTextChar"/>
    <w:uiPriority w:val="99"/>
    <w:semiHidden/>
    <w:unhideWhenUsed/>
    <w:rsid w:val="00FC0BBE"/>
    <w:rPr>
      <w:sz w:val="20"/>
      <w:szCs w:val="20"/>
    </w:rPr>
  </w:style>
  <w:style w:type="character" w:customStyle="1" w:styleId="CommentTextChar">
    <w:name w:val="Comment Text Char"/>
    <w:basedOn w:val="DefaultParagraphFont"/>
    <w:link w:val="CommentText"/>
    <w:uiPriority w:val="99"/>
    <w:semiHidden/>
    <w:rsid w:val="00FC0BBE"/>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FC0BBE"/>
    <w:rPr>
      <w:b/>
      <w:bCs/>
    </w:rPr>
  </w:style>
  <w:style w:type="character" w:customStyle="1" w:styleId="CommentSubjectChar">
    <w:name w:val="Comment Subject Char"/>
    <w:basedOn w:val="CommentTextChar"/>
    <w:link w:val="CommentSubject"/>
    <w:uiPriority w:val="99"/>
    <w:semiHidden/>
    <w:rsid w:val="00FC0BBE"/>
    <w:rPr>
      <w:rFonts w:ascii="Arial" w:eastAsia="Arial" w:hAnsi="Arial" w:cs="Arial"/>
      <w:b/>
      <w:bCs/>
      <w:sz w:val="20"/>
      <w:szCs w:val="20"/>
    </w:rPr>
  </w:style>
  <w:style w:type="paragraph" w:styleId="Revision">
    <w:name w:val="Revision"/>
    <w:hidden/>
    <w:uiPriority w:val="99"/>
    <w:semiHidden/>
    <w:rsid w:val="00FC0BBE"/>
    <w:pPr>
      <w:widowControl/>
      <w:autoSpaceDE/>
      <w:autoSpaceDN/>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s://oeuk.org.uk/product/guideline-on-decommissioning-cost-estimation-issue-3/"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oeuk.org.uk/product/decommissioning-work-breakdown-structure-guidelines/" TargetMode="External"/><Relationship Id="rId7" Type="http://schemas.openxmlformats.org/officeDocument/2006/relationships/hyperlink" Target="http://www.oeuk.org.uk" TargetMode="External"/><Relationship Id="rId12" Type="http://schemas.openxmlformats.org/officeDocument/2006/relationships/image" Target="media/image2.png"/><Relationship Id="rId17" Type="http://schemas.openxmlformats.org/officeDocument/2006/relationships/image" Target="media/image6.emf"/><Relationship Id="rId25"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image" Target="media/image5.emf"/><Relationship Id="rId20" Type="http://schemas.openxmlformats.org/officeDocument/2006/relationships/hyperlink" Target="https://assets.publishing.service.gov.uk/government/uploads/system/uploads/attachment_data/file/760560/Decom_Guidance_Notes_November_2018.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image" Target="media/image7.emf"/><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hyperlink" Target="https://oeuk.org.uk/product/guidelines-on-well-abandonment-cost-estimation-issue-2/" TargetMode="External"/><Relationship Id="rId10" Type="http://schemas.openxmlformats.org/officeDocument/2006/relationships/footer" Target="footer2.xml"/><Relationship Id="rId19" Type="http://schemas.openxmlformats.org/officeDocument/2006/relationships/hyperlink" Target="https://www.nstauthority.co.uk/news-publications/publications/2022/well-consents-guidanc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3.png"/><Relationship Id="rId22" Type="http://schemas.openxmlformats.org/officeDocument/2006/relationships/hyperlink" Target="https://www.nstauthority.co.uk/media/7680/ukcs_decomm_cost_estimate_2021_single_master.pdf"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69bf4a9-87bd-4dbf-a36c-1db5158e5def}" enabled="1" method="Privileged" siteId="{ea80952e-a476-42d4-aaf4-5457852b0f7e}" contentBits="0" removed="0"/>
</clbl:labelList>
</file>

<file path=docProps/app.xml><?xml version="1.0" encoding="utf-8"?>
<Properties xmlns="http://schemas.openxmlformats.org/officeDocument/2006/extended-properties" xmlns:vt="http://schemas.openxmlformats.org/officeDocument/2006/docPropsVTypes">
  <Template>Normal</Template>
  <TotalTime>230</TotalTime>
  <Pages>8</Pages>
  <Words>1582</Words>
  <Characters>9020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Microsoft Word - SOAP 7 March 2017.docx</vt:lpstr>
    </vt:vector>
  </TitlesOfParts>
  <Company/>
  <LinksUpToDate>false</LinksUpToDate>
  <CharactersWithSpaces>10581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SOAP 7 March 2017.docx</dc:title>
  <dc:creator>strachad</dc:creator>
  <cp:lastModifiedBy>Abbi Stewart</cp:lastModifiedBy>
  <cp:revision>5</cp:revision>
  <cp:lastPrinted>2019-04-08T12:43:00Z</cp:lastPrinted>
  <dcterms:created xsi:type="dcterms:W3CDTF">2023-05-12T11:12:00Z</dcterms:created>
  <dcterms:modified xsi:type="dcterms:W3CDTF">2023-05-16T10:03:00Z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2017-03-08T00:00:00Z</vt:filetime>
  </property>
  <property fmtid="{D5CDD505-2E9C-101B-9397-08002B2CF9AE}" pid="3" name="Creator">
    <vt:lpwstr>PScript5.dll Version 5.2.2</vt:lpwstr>
  </property>
  <property fmtid="{D5CDD505-2E9C-101B-9397-08002B2CF9AE}" pid="4" name="LastSaved">
    <vt:filetime>2018-11-19T00:00:00Z</vt:filetime>
  </property>
</Properties>
</file>